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w:t>
      </w:r>
      <w:r>
        <w:rPr>
          <w:rFonts w:hint="eastAsia" w:ascii="Arial" w:hAnsi="Arial" w:cs="Arial"/>
          <w:b/>
          <w:sz w:val="24"/>
          <w:szCs w:val="24"/>
        </w:rPr>
        <w:t xml:space="preserve">                              R4-2313172</w:t>
      </w:r>
      <w:bookmarkStart w:id="7" w:name="_GoBack"/>
      <w:bookmarkEnd w:id="7"/>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Toulouse</w:t>
      </w:r>
      <w:r>
        <w:rPr>
          <w:rFonts w:ascii="Arial" w:hAnsi="Arial" w:cs="Arial"/>
          <w:b/>
          <w:sz w:val="24"/>
          <w:szCs w:val="24"/>
        </w:rPr>
        <w:t xml:space="preserve"> , </w:t>
      </w:r>
      <w:r>
        <w:rPr>
          <w:rFonts w:hint="eastAsia" w:ascii="Arial" w:hAnsi="Arial" w:cs="Arial"/>
          <w:b/>
          <w:sz w:val="24"/>
          <w:szCs w:val="24"/>
          <w:lang w:val="en-US" w:eastAsia="zh-CN"/>
        </w:rPr>
        <w:t>France</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Aug</w:t>
      </w:r>
      <w:r>
        <w:rPr>
          <w:rFonts w:ascii="Arial" w:hAnsi="Arial" w:cs="Arial"/>
          <w:b/>
          <w:sz w:val="24"/>
          <w:szCs w:val="24"/>
        </w:rPr>
        <w:t xml:space="preserve"> </w:t>
      </w:r>
      <w:r>
        <w:rPr>
          <w:rFonts w:hint="eastAsia" w:ascii="Arial" w:hAnsi="Arial" w:cs="Arial"/>
          <w:b/>
          <w:sz w:val="24"/>
          <w:szCs w:val="24"/>
        </w:rPr>
        <w:t>2</w:t>
      </w:r>
      <w:r>
        <w:rPr>
          <w:rFonts w:hint="eastAsia" w:ascii="Arial" w:hAnsi="Arial" w:cs="Arial"/>
          <w:b/>
          <w:sz w:val="24"/>
          <w:szCs w:val="24"/>
          <w:lang w:val="en-US" w:eastAsia="zh-CN"/>
        </w:rPr>
        <w:t>1</w:t>
      </w:r>
      <w:r>
        <w:rPr>
          <w:rFonts w:ascii="Arial" w:hAnsi="Arial" w:cs="Arial"/>
          <w:b/>
          <w:sz w:val="24"/>
          <w:szCs w:val="24"/>
        </w:rPr>
        <w:t xml:space="preserve"> – </w:t>
      </w:r>
      <w:r>
        <w:rPr>
          <w:rFonts w:hint="eastAsia" w:ascii="Arial" w:hAnsi="Arial" w:cs="Arial"/>
          <w:b/>
          <w:sz w:val="24"/>
          <w:szCs w:val="24"/>
          <w:lang w:val="en-US" w:eastAsia="zh-CN"/>
        </w:rPr>
        <w:t>Aug</w:t>
      </w:r>
      <w:r>
        <w:rPr>
          <w:rFonts w:ascii="Arial" w:hAnsi="Arial" w:cs="Arial"/>
          <w:b/>
          <w:sz w:val="24"/>
          <w:szCs w:val="24"/>
        </w:rPr>
        <w:t xml:space="preserve"> 2</w:t>
      </w:r>
      <w:r>
        <w:rPr>
          <w:rFonts w:hint="eastAsia" w:ascii="Arial" w:hAnsi="Arial" w:cs="Arial"/>
          <w:b/>
          <w:sz w:val="24"/>
          <w:szCs w:val="24"/>
          <w:lang w:val="en-US" w:eastAsia="zh-CN"/>
        </w:rPr>
        <w:t>5</w:t>
      </w:r>
      <w:r>
        <w:rPr>
          <w:rFonts w:hint="eastAsia" w:ascii="Arial" w:hAnsi="Arial" w:cs="Arial"/>
          <w:b/>
          <w:sz w:val="24"/>
          <w:szCs w:val="24"/>
        </w:rPr>
        <w:t>, 2023</w:t>
      </w:r>
    </w:p>
    <w:p>
      <w:pPr>
        <w:tabs>
          <w:tab w:val="left" w:pos="1985"/>
        </w:tabs>
        <w:spacing w:after="180"/>
        <w:ind w:left="1980" w:hanging="1980"/>
        <w:rPr>
          <w:rFonts w:hint="default" w:ascii="Arial" w:hAnsi="Arial" w:eastAsia="Batang"/>
          <w:b/>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8.26.1.1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 xml:space="preserve">system parameter for NTN in Ka band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bCs/>
          <w:lang w:val="en-US"/>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In last RAN4 meeting, we reached some progress for system parameter of NTN K-band, however </w:t>
      </w:r>
      <w:bookmarkStart w:id="1" w:name="OLE_LINK35"/>
      <w:r>
        <w:rPr>
          <w:rFonts w:hint="eastAsia" w:cs="Times New Roman"/>
          <w:kern w:val="2"/>
          <w:sz w:val="21"/>
          <w:szCs w:val="22"/>
          <w:highlight w:val="none"/>
          <w:lang w:val="en-US" w:eastAsia="zh-CN" w:bidi="ar-SA"/>
        </w:rPr>
        <w:t xml:space="preserve">there are only one remaining issue for system parameter of NTN Ka-band. </w:t>
      </w:r>
    </w:p>
    <w:p>
      <w:pPr>
        <w:spacing w:after="120"/>
        <w:rPr>
          <w:szCs w:val="24"/>
          <w:highlight w:val="green"/>
          <w:lang w:eastAsia="zh-CN"/>
        </w:rPr>
      </w:pPr>
      <w:r>
        <w:rPr>
          <w:szCs w:val="24"/>
          <w:highlight w:val="green"/>
          <w:lang w:eastAsia="zh-CN"/>
        </w:rPr>
        <w:t xml:space="preserve">Agreement:  </w:t>
      </w:r>
    </w:p>
    <w:p>
      <w:pPr>
        <w:pStyle w:val="34"/>
        <w:numPr>
          <w:ilvl w:val="1"/>
          <w:numId w:val="2"/>
        </w:numPr>
        <w:overflowPunct/>
        <w:autoSpaceDE/>
        <w:autoSpaceDN/>
        <w:adjustRightInd/>
        <w:spacing w:after="120" w:line="240" w:lineRule="auto"/>
        <w:ind w:left="1440" w:firstLineChars="0"/>
        <w:textAlignment w:val="auto"/>
        <w:rPr>
          <w:rFonts w:eastAsia="宋体"/>
          <w:szCs w:val="24"/>
          <w:lang w:eastAsia="zh-CN"/>
        </w:rPr>
      </w:pPr>
      <w:r>
        <w:rPr>
          <w:rFonts w:eastAsia="宋体"/>
          <w:szCs w:val="24"/>
          <w:lang w:eastAsia="zh-CN"/>
        </w:rPr>
        <w:t xml:space="preserve">Option 1: </w:t>
      </w:r>
      <w:r>
        <w:rPr>
          <w:lang w:val="en-US" w:eastAsia="zh-CN"/>
        </w:rPr>
        <w:t>U</w:t>
      </w:r>
      <w:r>
        <w:rPr>
          <w:rFonts w:hint="eastAsia"/>
          <w:lang w:val="en-US" w:eastAsia="zh-CN"/>
        </w:rPr>
        <w:t>se following GSCN for Ka-band as following</w:t>
      </w:r>
    </w:p>
    <w:p>
      <w:pPr>
        <w:pStyle w:val="45"/>
        <w:ind w:left="936"/>
        <w:rPr>
          <w:lang w:val="en-US"/>
        </w:rPr>
      </w:pPr>
      <w:r>
        <w:rPr>
          <w:lang w:val="en-US"/>
        </w:rPr>
        <w:t xml:space="preserve">Table 2: Applicable SS raster entries per </w:t>
      </w:r>
      <w:r>
        <w:rPr>
          <w:i/>
          <w:lang w:val="en-US"/>
        </w:rPr>
        <w:t>operating band</w:t>
      </w:r>
      <w:r>
        <w:rPr>
          <w:lang w:val="en-US"/>
        </w:rPr>
        <w:t xml:space="preserve"> (FR2-NTN)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35"/>
              <w:rPr>
                <w:rFonts w:eastAsia="Yu Mincho"/>
              </w:rPr>
            </w:pPr>
            <w:r>
              <w:rPr>
                <w:lang w:eastAsia="zh-CN"/>
              </w:rPr>
              <w:t>SS Block pattern</w:t>
            </w:r>
            <w:r>
              <w:rPr>
                <w:lang w:eastAsia="zh-CN"/>
              </w:rPr>
              <w:br w:type="textWrapping"/>
            </w:r>
            <w:r>
              <w:rPr>
                <w:lang w:eastAsia="zh-CN"/>
              </w:rPr>
              <w:t>(note 1)</w:t>
            </w:r>
          </w:p>
        </w:tc>
        <w:tc>
          <w:tcPr>
            <w:tcW w:w="2593" w:type="dxa"/>
            <w:tcBorders>
              <w:top w:val="single" w:color="auto" w:sz="4" w:space="0"/>
              <w:left w:val="single" w:color="auto" w:sz="4" w:space="0"/>
              <w:bottom w:val="single" w:color="auto" w:sz="4" w:space="0"/>
              <w:right w:val="single" w:color="auto" w:sz="4" w:space="0"/>
            </w:tcBorders>
          </w:tcPr>
          <w:p>
            <w:pPr>
              <w:pStyle w:val="35"/>
              <w:rPr>
                <w:rFonts w:eastAsia="Yu Mincho"/>
                <w:vertAlign w:val="subscript"/>
                <w:lang w:val="en-US"/>
              </w:rPr>
            </w:pPr>
            <w:r>
              <w:rPr>
                <w:rFonts w:eastAsia="Yu Mincho"/>
                <w:lang w:val="en-US"/>
              </w:rPr>
              <w:t>Range of GSCN</w:t>
            </w:r>
          </w:p>
          <w:p>
            <w:pPr>
              <w:pStyle w:val="35"/>
              <w:rPr>
                <w:rFonts w:eastAsia="Yu Mincho"/>
                <w:lang w:val="en-US"/>
              </w:rPr>
            </w:pPr>
            <w:r>
              <w:rPr>
                <w:rFonts w:eastAsia="Yu Mincho"/>
                <w:lang w:val="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36"/>
              <w:rPr>
                <w:rFonts w:eastAsia="Yu Mincho"/>
              </w:rPr>
            </w:pPr>
            <w:r>
              <w:t>n512</w:t>
            </w:r>
          </w:p>
        </w:tc>
        <w:tc>
          <w:tcPr>
            <w:tcW w:w="2165" w:type="dxa"/>
            <w:tcBorders>
              <w:top w:val="single" w:color="auto" w:sz="4" w:space="0"/>
              <w:left w:val="single" w:color="auto" w:sz="4" w:space="0"/>
              <w:bottom w:val="single" w:color="auto" w:sz="4" w:space="0"/>
              <w:right w:val="single" w:color="auto" w:sz="4" w:space="0"/>
            </w:tcBorders>
          </w:tcPr>
          <w:p>
            <w:pPr>
              <w:pStyle w:val="36"/>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36"/>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36"/>
              <w:rPr>
                <w:rFonts w:eastAsia="Yu Mincho"/>
              </w:rPr>
            </w:pPr>
            <w:r>
              <w:t>1744</w:t>
            </w:r>
            <w:r>
              <w:rPr>
                <w:rFonts w:hint="eastAsia"/>
                <w:lang w:val="en-US" w:eastAsia="zh-CN"/>
              </w:rPr>
              <w:t>8</w:t>
            </w:r>
            <w:r>
              <w:t xml:space="preserve"> – &lt;12&gt; – 1942</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36"/>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36"/>
            </w:pPr>
            <w:r>
              <w:t>240 kHz</w:t>
            </w:r>
          </w:p>
        </w:tc>
        <w:tc>
          <w:tcPr>
            <w:tcW w:w="1827" w:type="dxa"/>
            <w:tcBorders>
              <w:top w:val="single" w:color="auto" w:sz="4" w:space="0"/>
              <w:left w:val="single" w:color="auto" w:sz="4" w:space="0"/>
              <w:bottom w:val="single" w:color="auto" w:sz="4" w:space="0"/>
              <w:right w:val="single" w:color="auto" w:sz="4" w:space="0"/>
            </w:tcBorders>
          </w:tcPr>
          <w:p>
            <w:pPr>
              <w:pStyle w:val="36"/>
            </w:pPr>
            <w:r>
              <w:t>Case E</w:t>
            </w:r>
          </w:p>
        </w:tc>
        <w:tc>
          <w:tcPr>
            <w:tcW w:w="2593" w:type="dxa"/>
            <w:tcBorders>
              <w:top w:val="single" w:color="auto" w:sz="4" w:space="0"/>
              <w:left w:val="single" w:color="auto" w:sz="4" w:space="0"/>
              <w:bottom w:val="single" w:color="auto" w:sz="4" w:space="0"/>
              <w:right w:val="single" w:color="auto" w:sz="4" w:space="0"/>
            </w:tcBorders>
          </w:tcPr>
          <w:p>
            <w:pPr>
              <w:pStyle w:val="36"/>
              <w:rPr>
                <w:lang w:val="en-US" w:eastAsia="zh-CN"/>
              </w:rPr>
            </w:pPr>
            <w:r>
              <w:t>174</w:t>
            </w:r>
            <w:r>
              <w:rPr>
                <w:rFonts w:hint="eastAsia"/>
                <w:lang w:val="en-US" w:eastAsia="zh-CN"/>
              </w:rPr>
              <w:t>72</w:t>
            </w:r>
            <w:r>
              <w:t>– &lt;24&gt; – 194</w:t>
            </w:r>
            <w:r>
              <w:rPr>
                <w:rFonts w:hint="eastAsia"/>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36"/>
              <w:rPr>
                <w:rFonts w:eastAsia="Yu Mincho"/>
              </w:rPr>
            </w:pPr>
            <w:r>
              <w:t>n511</w:t>
            </w:r>
          </w:p>
        </w:tc>
        <w:tc>
          <w:tcPr>
            <w:tcW w:w="2165" w:type="dxa"/>
            <w:tcBorders>
              <w:top w:val="single" w:color="auto" w:sz="4" w:space="0"/>
              <w:left w:val="single" w:color="auto" w:sz="4" w:space="0"/>
              <w:bottom w:val="single" w:color="auto" w:sz="4" w:space="0"/>
              <w:right w:val="single" w:color="auto" w:sz="4" w:space="0"/>
            </w:tcBorders>
          </w:tcPr>
          <w:p>
            <w:pPr>
              <w:pStyle w:val="36"/>
            </w:pPr>
            <w:r>
              <w:t>120 kHz</w:t>
            </w:r>
          </w:p>
        </w:tc>
        <w:tc>
          <w:tcPr>
            <w:tcW w:w="1827" w:type="dxa"/>
            <w:tcBorders>
              <w:top w:val="single" w:color="auto" w:sz="4" w:space="0"/>
              <w:left w:val="single" w:color="auto" w:sz="4" w:space="0"/>
              <w:bottom w:val="single" w:color="auto" w:sz="4" w:space="0"/>
              <w:right w:val="single" w:color="auto" w:sz="4" w:space="0"/>
            </w:tcBorders>
          </w:tcPr>
          <w:p>
            <w:pPr>
              <w:pStyle w:val="36"/>
            </w:pPr>
            <w:r>
              <w:t>Case D</w:t>
            </w:r>
          </w:p>
        </w:tc>
        <w:tc>
          <w:tcPr>
            <w:tcW w:w="2593" w:type="dxa"/>
            <w:tcBorders>
              <w:top w:val="single" w:color="auto" w:sz="4" w:space="0"/>
              <w:left w:val="single" w:color="auto" w:sz="4" w:space="0"/>
              <w:bottom w:val="single" w:color="auto" w:sz="4" w:space="0"/>
              <w:right w:val="single" w:color="auto" w:sz="4" w:space="0"/>
            </w:tcBorders>
          </w:tcPr>
          <w:p>
            <w:pPr>
              <w:pStyle w:val="36"/>
              <w:rPr>
                <w:rFonts w:eastAsia="Yu Mincho"/>
              </w:rPr>
            </w:pPr>
            <w:r>
              <w:t>1744</w:t>
            </w:r>
            <w:r>
              <w:rPr>
                <w:rFonts w:hint="eastAsia"/>
                <w:lang w:val="en-US" w:eastAsia="zh-CN"/>
              </w:rPr>
              <w:t>8</w:t>
            </w:r>
            <w:r>
              <w:t xml:space="preserve"> – &lt;12&gt; – 1942</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36"/>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36"/>
            </w:pPr>
            <w:r>
              <w:t>240 kHz</w:t>
            </w:r>
          </w:p>
        </w:tc>
        <w:tc>
          <w:tcPr>
            <w:tcW w:w="1827" w:type="dxa"/>
            <w:tcBorders>
              <w:top w:val="single" w:color="auto" w:sz="4" w:space="0"/>
              <w:left w:val="single" w:color="auto" w:sz="4" w:space="0"/>
              <w:bottom w:val="single" w:color="auto" w:sz="4" w:space="0"/>
              <w:right w:val="single" w:color="auto" w:sz="4" w:space="0"/>
            </w:tcBorders>
          </w:tcPr>
          <w:p>
            <w:pPr>
              <w:pStyle w:val="36"/>
              <w:rPr>
                <w:lang w:eastAsia="zh-CN"/>
              </w:rPr>
            </w:pPr>
            <w:r>
              <w:t>Case E</w:t>
            </w:r>
          </w:p>
        </w:tc>
        <w:tc>
          <w:tcPr>
            <w:tcW w:w="2593" w:type="dxa"/>
            <w:tcBorders>
              <w:top w:val="single" w:color="auto" w:sz="4" w:space="0"/>
              <w:left w:val="single" w:color="auto" w:sz="4" w:space="0"/>
              <w:bottom w:val="single" w:color="auto" w:sz="4" w:space="0"/>
              <w:right w:val="single" w:color="auto" w:sz="4" w:space="0"/>
            </w:tcBorders>
          </w:tcPr>
          <w:p>
            <w:pPr>
              <w:pStyle w:val="36"/>
            </w:pPr>
            <w:r>
              <w:t>174</w:t>
            </w:r>
            <w:r>
              <w:rPr>
                <w:rFonts w:hint="eastAsia"/>
                <w:lang w:val="en-US" w:eastAsia="zh-CN"/>
              </w:rPr>
              <w:t>72</w:t>
            </w:r>
            <w:r>
              <w:t>– &lt;24&gt; – 194</w:t>
            </w:r>
            <w:r>
              <w:rPr>
                <w:rFonts w:hint="eastAsia"/>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36"/>
              <w:rPr>
                <w:rFonts w:eastAsia="Yu Mincho"/>
              </w:rPr>
            </w:pPr>
            <w:r>
              <w:t>n510</w:t>
            </w:r>
          </w:p>
        </w:tc>
        <w:tc>
          <w:tcPr>
            <w:tcW w:w="2165" w:type="dxa"/>
            <w:tcBorders>
              <w:top w:val="single" w:color="auto" w:sz="4" w:space="0"/>
              <w:left w:val="single" w:color="auto" w:sz="4" w:space="0"/>
              <w:bottom w:val="single" w:color="auto" w:sz="4" w:space="0"/>
              <w:right w:val="single" w:color="auto" w:sz="4" w:space="0"/>
            </w:tcBorders>
          </w:tcPr>
          <w:p>
            <w:pPr>
              <w:pStyle w:val="36"/>
            </w:pPr>
            <w:r>
              <w:t>120 kHz</w:t>
            </w:r>
          </w:p>
        </w:tc>
        <w:tc>
          <w:tcPr>
            <w:tcW w:w="1827" w:type="dxa"/>
            <w:tcBorders>
              <w:top w:val="single" w:color="auto" w:sz="4" w:space="0"/>
              <w:left w:val="single" w:color="auto" w:sz="4" w:space="0"/>
              <w:bottom w:val="single" w:color="auto" w:sz="4" w:space="0"/>
              <w:right w:val="single" w:color="auto" w:sz="4" w:space="0"/>
            </w:tcBorders>
          </w:tcPr>
          <w:p>
            <w:pPr>
              <w:pStyle w:val="36"/>
            </w:pPr>
            <w:r>
              <w:t>Case D</w:t>
            </w:r>
          </w:p>
        </w:tc>
        <w:tc>
          <w:tcPr>
            <w:tcW w:w="2593" w:type="dxa"/>
            <w:tcBorders>
              <w:top w:val="single" w:color="auto" w:sz="4" w:space="0"/>
              <w:left w:val="single" w:color="auto" w:sz="4" w:space="0"/>
              <w:bottom w:val="single" w:color="auto" w:sz="4" w:space="0"/>
              <w:right w:val="single" w:color="auto" w:sz="4" w:space="0"/>
            </w:tcBorders>
          </w:tcPr>
          <w:p>
            <w:pPr>
              <w:pStyle w:val="36"/>
              <w:rPr>
                <w:rFonts w:eastAsia="Yu Mincho"/>
              </w:rPr>
            </w:pPr>
            <w:r>
              <w:t>1744</w:t>
            </w:r>
            <w:r>
              <w:rPr>
                <w:rFonts w:hint="eastAsia"/>
                <w:lang w:val="en-US" w:eastAsia="zh-CN"/>
              </w:rPr>
              <w:t>8</w:t>
            </w:r>
            <w:r>
              <w:t xml:space="preserve"> – &lt;12&gt; – 1942</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36"/>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36"/>
            </w:pPr>
            <w:r>
              <w:t>240 kHz</w:t>
            </w:r>
          </w:p>
        </w:tc>
        <w:tc>
          <w:tcPr>
            <w:tcW w:w="1827" w:type="dxa"/>
            <w:tcBorders>
              <w:top w:val="single" w:color="auto" w:sz="4" w:space="0"/>
              <w:left w:val="single" w:color="auto" w:sz="4" w:space="0"/>
              <w:bottom w:val="single" w:color="auto" w:sz="4" w:space="0"/>
              <w:right w:val="single" w:color="auto" w:sz="4" w:space="0"/>
            </w:tcBorders>
          </w:tcPr>
          <w:p>
            <w:pPr>
              <w:pStyle w:val="36"/>
            </w:pPr>
            <w:r>
              <w:t>Case E</w:t>
            </w:r>
          </w:p>
        </w:tc>
        <w:tc>
          <w:tcPr>
            <w:tcW w:w="2593" w:type="dxa"/>
            <w:tcBorders>
              <w:top w:val="single" w:color="auto" w:sz="4" w:space="0"/>
              <w:left w:val="single" w:color="auto" w:sz="4" w:space="0"/>
              <w:bottom w:val="single" w:color="auto" w:sz="4" w:space="0"/>
              <w:right w:val="single" w:color="auto" w:sz="4" w:space="0"/>
            </w:tcBorders>
          </w:tcPr>
          <w:p>
            <w:pPr>
              <w:pStyle w:val="36"/>
            </w:pPr>
            <w:r>
              <w:t>174</w:t>
            </w:r>
            <w:r>
              <w:rPr>
                <w:rFonts w:hint="eastAsia"/>
                <w:lang w:val="en-US" w:eastAsia="zh-CN"/>
              </w:rPr>
              <w:t>72</w:t>
            </w:r>
            <w:r>
              <w:t>– &lt;24&gt; – 194</w:t>
            </w:r>
            <w:r>
              <w:rPr>
                <w:rFonts w:hint="eastAsia"/>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48"/>
              <w:rPr>
                <w:lang w:val="en-US"/>
              </w:rPr>
            </w:pPr>
            <w:r>
              <w:rPr>
                <w:lang w:val="en-US"/>
              </w:rPr>
              <w:t>NOTE 1:</w:t>
            </w:r>
            <w:r>
              <w:rPr>
                <w:lang w:val="en-US"/>
              </w:rPr>
              <w:tab/>
            </w:r>
            <w:r>
              <w:rPr>
                <w:lang w:val="en-US"/>
              </w:rPr>
              <w:t>SS Block pattern is defined in section 4.1 in TS 38.213.</w:t>
            </w:r>
          </w:p>
        </w:tc>
      </w:tr>
    </w:tbl>
    <w:p>
      <w:pPr>
        <w:spacing w:after="120"/>
      </w:pPr>
    </w:p>
    <w:p>
      <w:pPr>
        <w:pStyle w:val="34"/>
        <w:numPr>
          <w:ilvl w:val="1"/>
          <w:numId w:val="2"/>
        </w:numPr>
        <w:overflowPunct/>
        <w:autoSpaceDE/>
        <w:autoSpaceDN/>
        <w:adjustRightInd/>
        <w:spacing w:after="120" w:line="240" w:lineRule="auto"/>
        <w:ind w:left="1440" w:firstLineChars="0"/>
        <w:textAlignment w:val="auto"/>
        <w:rPr>
          <w:rFonts w:eastAsia="宋体"/>
          <w:szCs w:val="24"/>
          <w:lang w:eastAsia="zh-CN"/>
        </w:rPr>
      </w:pPr>
      <w:r>
        <w:rPr>
          <w:rFonts w:eastAsia="宋体"/>
          <w:szCs w:val="24"/>
          <w:lang w:eastAsia="zh-CN"/>
        </w:rPr>
        <w:t>Option 3: Remove [] from agreed WF at RAN4#106-bis-e</w:t>
      </w:r>
    </w:p>
    <w:p>
      <w:pPr>
        <w:pStyle w:val="45"/>
        <w:ind w:left="936"/>
      </w:pPr>
      <w:r>
        <w:t xml:space="preserve">Table 2: Applicable SS raster entries per </w:t>
      </w:r>
      <w:r>
        <w:rPr>
          <w:i/>
        </w:rPr>
        <w:t>operating band</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35"/>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35"/>
              <w:rPr>
                <w:rFonts w:eastAsia="Yu Mincho"/>
              </w:rPr>
            </w:pPr>
            <w:r>
              <w:rPr>
                <w:lang w:eastAsia="zh-CN"/>
              </w:rPr>
              <w:t>SS Block pattern</w:t>
            </w:r>
            <w:r>
              <w:rPr>
                <w:lang w:eastAsia="zh-CN"/>
              </w:rPr>
              <w:br w:type="textWrapping"/>
            </w:r>
            <w:r>
              <w:rPr>
                <w:lang w:eastAsia="zh-CN"/>
              </w:rPr>
              <w:t>(note 1)</w:t>
            </w:r>
          </w:p>
        </w:tc>
        <w:tc>
          <w:tcPr>
            <w:tcW w:w="2593" w:type="dxa"/>
            <w:tcBorders>
              <w:top w:val="single" w:color="auto" w:sz="4" w:space="0"/>
              <w:left w:val="single" w:color="auto" w:sz="4" w:space="0"/>
              <w:bottom w:val="single" w:color="auto" w:sz="4" w:space="0"/>
              <w:right w:val="single" w:color="auto" w:sz="4" w:space="0"/>
            </w:tcBorders>
          </w:tcPr>
          <w:p>
            <w:pPr>
              <w:pStyle w:val="35"/>
              <w:rPr>
                <w:rFonts w:eastAsia="Yu Mincho"/>
                <w:vertAlign w:val="subscript"/>
              </w:rPr>
            </w:pPr>
            <w:r>
              <w:rPr>
                <w:rFonts w:eastAsia="Yu Mincho"/>
              </w:rPr>
              <w:t>Range of GSCN</w:t>
            </w:r>
          </w:p>
          <w:p>
            <w:pPr>
              <w:pStyle w:val="35"/>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36"/>
              <w:rPr>
                <w:rFonts w:eastAsia="Yu Mincho"/>
              </w:rPr>
            </w:pPr>
            <w:r>
              <w:t>n512</w:t>
            </w:r>
          </w:p>
        </w:tc>
        <w:tc>
          <w:tcPr>
            <w:tcW w:w="2165" w:type="dxa"/>
            <w:tcBorders>
              <w:top w:val="single" w:color="auto" w:sz="4" w:space="0"/>
              <w:left w:val="single" w:color="auto" w:sz="4" w:space="0"/>
              <w:bottom w:val="single" w:color="auto" w:sz="4" w:space="0"/>
              <w:right w:val="single" w:color="auto" w:sz="4" w:space="0"/>
            </w:tcBorders>
          </w:tcPr>
          <w:p>
            <w:pPr>
              <w:pStyle w:val="36"/>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36"/>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36"/>
              <w:rPr>
                <w:rFonts w:eastAsia="Yu Mincho"/>
              </w:rPr>
            </w:pPr>
            <w:r>
              <w:t>1744</w:t>
            </w:r>
            <w:r>
              <w:rPr>
                <w:rFonts w:hint="eastAsia"/>
                <w:lang w:eastAsia="zh-CN"/>
              </w:rPr>
              <w:t>4</w:t>
            </w:r>
            <w:r>
              <w:t xml:space="preserve"> – &lt;12&gt; – 1942</w:t>
            </w: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36"/>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36"/>
            </w:pPr>
            <w:r>
              <w:t>240 kHz</w:t>
            </w:r>
          </w:p>
        </w:tc>
        <w:tc>
          <w:tcPr>
            <w:tcW w:w="1827" w:type="dxa"/>
            <w:tcBorders>
              <w:top w:val="single" w:color="auto" w:sz="4" w:space="0"/>
              <w:left w:val="single" w:color="auto" w:sz="4" w:space="0"/>
              <w:bottom w:val="single" w:color="auto" w:sz="4" w:space="0"/>
              <w:right w:val="single" w:color="auto" w:sz="4" w:space="0"/>
            </w:tcBorders>
          </w:tcPr>
          <w:p>
            <w:pPr>
              <w:pStyle w:val="36"/>
            </w:pPr>
            <w:r>
              <w:t>Case E</w:t>
            </w:r>
          </w:p>
        </w:tc>
        <w:tc>
          <w:tcPr>
            <w:tcW w:w="2593" w:type="dxa"/>
            <w:tcBorders>
              <w:top w:val="single" w:color="auto" w:sz="4" w:space="0"/>
              <w:left w:val="single" w:color="auto" w:sz="4" w:space="0"/>
              <w:bottom w:val="single" w:color="auto" w:sz="4" w:space="0"/>
              <w:right w:val="single" w:color="auto" w:sz="4" w:space="0"/>
            </w:tcBorders>
          </w:tcPr>
          <w:p>
            <w:pPr>
              <w:pStyle w:val="36"/>
            </w:pPr>
            <w:r>
              <w:t>17456 – &lt;24&gt; – 19400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36"/>
              <w:rPr>
                <w:rFonts w:eastAsia="Yu Mincho"/>
              </w:rPr>
            </w:pPr>
            <w:r>
              <w:t>n511</w:t>
            </w:r>
          </w:p>
        </w:tc>
        <w:tc>
          <w:tcPr>
            <w:tcW w:w="2165" w:type="dxa"/>
            <w:tcBorders>
              <w:top w:val="single" w:color="auto" w:sz="4" w:space="0"/>
              <w:left w:val="single" w:color="auto" w:sz="4" w:space="0"/>
              <w:bottom w:val="single" w:color="auto" w:sz="4" w:space="0"/>
              <w:right w:val="single" w:color="auto" w:sz="4" w:space="0"/>
            </w:tcBorders>
          </w:tcPr>
          <w:p>
            <w:pPr>
              <w:pStyle w:val="36"/>
            </w:pPr>
            <w:r>
              <w:t>120 kHz</w:t>
            </w:r>
          </w:p>
        </w:tc>
        <w:tc>
          <w:tcPr>
            <w:tcW w:w="1827" w:type="dxa"/>
            <w:tcBorders>
              <w:top w:val="single" w:color="auto" w:sz="4" w:space="0"/>
              <w:left w:val="single" w:color="auto" w:sz="4" w:space="0"/>
              <w:bottom w:val="single" w:color="auto" w:sz="4" w:space="0"/>
              <w:right w:val="single" w:color="auto" w:sz="4" w:space="0"/>
            </w:tcBorders>
          </w:tcPr>
          <w:p>
            <w:pPr>
              <w:pStyle w:val="36"/>
            </w:pPr>
            <w:r>
              <w:t>Case D</w:t>
            </w:r>
          </w:p>
        </w:tc>
        <w:tc>
          <w:tcPr>
            <w:tcW w:w="2593" w:type="dxa"/>
            <w:tcBorders>
              <w:top w:val="single" w:color="auto" w:sz="4" w:space="0"/>
              <w:left w:val="single" w:color="auto" w:sz="4" w:space="0"/>
              <w:bottom w:val="single" w:color="auto" w:sz="4" w:space="0"/>
              <w:right w:val="single" w:color="auto" w:sz="4" w:space="0"/>
            </w:tcBorders>
          </w:tcPr>
          <w:p>
            <w:pPr>
              <w:pStyle w:val="36"/>
              <w:rPr>
                <w:rFonts w:eastAsia="Yu Mincho"/>
              </w:rPr>
            </w:pPr>
            <w:r>
              <w:t>1744</w:t>
            </w:r>
            <w:r>
              <w:rPr>
                <w:rFonts w:hint="eastAsia"/>
                <w:lang w:eastAsia="zh-CN"/>
              </w:rPr>
              <w:t>4</w:t>
            </w:r>
            <w:r>
              <w:t xml:space="preserve"> – &lt;12&gt; – 1942</w:t>
            </w: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36"/>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36"/>
            </w:pPr>
            <w:r>
              <w:t>240 kHz</w:t>
            </w:r>
          </w:p>
        </w:tc>
        <w:tc>
          <w:tcPr>
            <w:tcW w:w="1827" w:type="dxa"/>
            <w:tcBorders>
              <w:top w:val="single" w:color="auto" w:sz="4" w:space="0"/>
              <w:left w:val="single" w:color="auto" w:sz="4" w:space="0"/>
              <w:bottom w:val="single" w:color="auto" w:sz="4" w:space="0"/>
              <w:right w:val="single" w:color="auto" w:sz="4" w:space="0"/>
            </w:tcBorders>
          </w:tcPr>
          <w:p>
            <w:pPr>
              <w:pStyle w:val="36"/>
              <w:rPr>
                <w:lang w:eastAsia="zh-CN"/>
              </w:rPr>
            </w:pPr>
            <w:r>
              <w:t>Case E</w:t>
            </w:r>
          </w:p>
        </w:tc>
        <w:tc>
          <w:tcPr>
            <w:tcW w:w="2593" w:type="dxa"/>
            <w:tcBorders>
              <w:top w:val="single" w:color="auto" w:sz="4" w:space="0"/>
              <w:left w:val="single" w:color="auto" w:sz="4" w:space="0"/>
              <w:bottom w:val="single" w:color="auto" w:sz="4" w:space="0"/>
              <w:right w:val="single" w:color="auto" w:sz="4" w:space="0"/>
            </w:tcBorders>
          </w:tcPr>
          <w:p>
            <w:pPr>
              <w:pStyle w:val="36"/>
            </w:pPr>
            <w:r>
              <w:t>17456 – &lt;24&gt; – 19400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36"/>
              <w:rPr>
                <w:rFonts w:eastAsia="Yu Mincho"/>
              </w:rPr>
            </w:pPr>
            <w:r>
              <w:t>n510</w:t>
            </w:r>
          </w:p>
        </w:tc>
        <w:tc>
          <w:tcPr>
            <w:tcW w:w="2165" w:type="dxa"/>
            <w:tcBorders>
              <w:top w:val="single" w:color="auto" w:sz="4" w:space="0"/>
              <w:left w:val="single" w:color="auto" w:sz="4" w:space="0"/>
              <w:bottom w:val="single" w:color="auto" w:sz="4" w:space="0"/>
              <w:right w:val="single" w:color="auto" w:sz="4" w:space="0"/>
            </w:tcBorders>
          </w:tcPr>
          <w:p>
            <w:pPr>
              <w:pStyle w:val="36"/>
            </w:pPr>
            <w:r>
              <w:t>120 kHz</w:t>
            </w:r>
          </w:p>
        </w:tc>
        <w:tc>
          <w:tcPr>
            <w:tcW w:w="1827" w:type="dxa"/>
            <w:tcBorders>
              <w:top w:val="single" w:color="auto" w:sz="4" w:space="0"/>
              <w:left w:val="single" w:color="auto" w:sz="4" w:space="0"/>
              <w:bottom w:val="single" w:color="auto" w:sz="4" w:space="0"/>
              <w:right w:val="single" w:color="auto" w:sz="4" w:space="0"/>
            </w:tcBorders>
          </w:tcPr>
          <w:p>
            <w:pPr>
              <w:pStyle w:val="36"/>
            </w:pPr>
            <w:r>
              <w:t>Case D</w:t>
            </w:r>
          </w:p>
        </w:tc>
        <w:tc>
          <w:tcPr>
            <w:tcW w:w="2593" w:type="dxa"/>
            <w:tcBorders>
              <w:top w:val="single" w:color="auto" w:sz="4" w:space="0"/>
              <w:left w:val="single" w:color="auto" w:sz="4" w:space="0"/>
              <w:bottom w:val="single" w:color="auto" w:sz="4" w:space="0"/>
              <w:right w:val="single" w:color="auto" w:sz="4" w:space="0"/>
            </w:tcBorders>
          </w:tcPr>
          <w:p>
            <w:pPr>
              <w:pStyle w:val="36"/>
              <w:rPr>
                <w:rFonts w:eastAsia="Yu Mincho"/>
              </w:rPr>
            </w:pPr>
            <w:r>
              <w:t>1744</w:t>
            </w:r>
            <w:r>
              <w:rPr>
                <w:rFonts w:hint="eastAsia"/>
                <w:lang w:eastAsia="zh-CN"/>
              </w:rPr>
              <w:t>4</w:t>
            </w:r>
            <w:r>
              <w:t xml:space="preserve"> – &lt;12&gt; – 1942</w:t>
            </w: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36"/>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36"/>
            </w:pPr>
            <w:r>
              <w:t>240 kHz</w:t>
            </w:r>
          </w:p>
        </w:tc>
        <w:tc>
          <w:tcPr>
            <w:tcW w:w="1827" w:type="dxa"/>
            <w:tcBorders>
              <w:top w:val="single" w:color="auto" w:sz="4" w:space="0"/>
              <w:left w:val="single" w:color="auto" w:sz="4" w:space="0"/>
              <w:bottom w:val="single" w:color="auto" w:sz="4" w:space="0"/>
              <w:right w:val="single" w:color="auto" w:sz="4" w:space="0"/>
            </w:tcBorders>
          </w:tcPr>
          <w:p>
            <w:pPr>
              <w:pStyle w:val="36"/>
            </w:pPr>
            <w:r>
              <w:t>Case E</w:t>
            </w:r>
          </w:p>
        </w:tc>
        <w:tc>
          <w:tcPr>
            <w:tcW w:w="2593" w:type="dxa"/>
            <w:tcBorders>
              <w:top w:val="single" w:color="auto" w:sz="4" w:space="0"/>
              <w:left w:val="single" w:color="auto" w:sz="4" w:space="0"/>
              <w:bottom w:val="single" w:color="auto" w:sz="4" w:space="0"/>
              <w:right w:val="single" w:color="auto" w:sz="4" w:space="0"/>
            </w:tcBorders>
          </w:tcPr>
          <w:p>
            <w:pPr>
              <w:pStyle w:val="36"/>
            </w:pPr>
            <w:r>
              <w:t>17456 – &lt;24&gt; – 19400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48"/>
            </w:pPr>
            <w:r>
              <w:t>NOTE 1:</w:t>
            </w:r>
            <w:r>
              <w:tab/>
            </w:r>
            <w:r>
              <w:t>SS Block pattern is defined in section 4.1 in TS 38.213.</w:t>
            </w:r>
          </w:p>
        </w:tc>
      </w:tr>
    </w:tbl>
    <w:p>
      <w:pPr>
        <w:spacing w:after="120"/>
        <w:rPr>
          <w:szCs w:val="24"/>
          <w:highlight w:val="green"/>
          <w:lang w:eastAsia="zh-CN"/>
        </w:rPr>
      </w:pPr>
    </w:p>
    <w:bookmarkEnd w:id="1"/>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default"/>
          <w:lang w:val="en-US" w:eastAsia="zh-CN"/>
        </w:rPr>
      </w:pPr>
      <w:r>
        <w:rPr>
          <w:rFonts w:hint="eastAsia"/>
          <w:highlight w:val="none"/>
        </w:rPr>
        <w:t xml:space="preserve">Discussion </w:t>
      </w:r>
      <w:bookmarkStart w:id="2" w:name="OLE_LINK13"/>
      <w:bookmarkStart w:id="3" w:name="OLE_LINK20"/>
      <w:bookmarkStart w:id="4" w:name="OLE_LINK14"/>
      <w:bookmarkStart w:id="5" w:name="OLE_LINK10"/>
      <w:r>
        <w:rPr>
          <w:rFonts w:hint="eastAsia" w:eastAsia="Times New Roman"/>
          <w:highlight w:val="none"/>
          <w:lang w:val="en-US" w:eastAsia="zh-CN"/>
        </w:rPr>
        <w:t xml:space="preserve"> </w:t>
      </w:r>
    </w:p>
    <w:p>
      <w:pPr>
        <w:keepNext w:val="0"/>
        <w:keepLines w:val="0"/>
        <w:pageBreakBefore w:val="0"/>
        <w:widowControl w:val="0"/>
        <w:suppressLineNumbers w:val="0"/>
        <w:kinsoku/>
        <w:wordWrap/>
        <w:topLinePunct w:val="0"/>
        <w:bidi w:val="0"/>
        <w:snapToGrid/>
        <w:jc w:val="left"/>
        <w:outlineLvl w:val="1"/>
        <w:rPr>
          <w:rFonts w:hint="eastAsia" w:ascii="Arial" w:hAnsi="Arial" w:cs="Arial"/>
          <w:sz w:val="28"/>
          <w:szCs w:val="28"/>
          <w:lang w:val="en-US" w:eastAsia="zh-CN"/>
        </w:rPr>
      </w:pPr>
      <w:bookmarkStart w:id="6" w:name="OLE_LINK8"/>
      <w:r>
        <w:rPr>
          <w:rFonts w:hint="eastAsia" w:ascii="Arial" w:hAnsi="Arial" w:cs="Arial"/>
          <w:sz w:val="28"/>
          <w:szCs w:val="28"/>
          <w:lang w:val="en-US" w:eastAsia="zh-CN"/>
        </w:rPr>
        <w:t>2.1. sync raster</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In the previous RAN4 meeting, we agreed on the step size for sync raster and freq range, however the details need to be further checked. Please check the attached excel sheet for further discussion. </w:t>
      </w:r>
    </w:p>
    <w:p>
      <w:pPr>
        <w:keepNext w:val="0"/>
        <w:keepLines w:val="0"/>
        <w:pageBreakBefore w:val="0"/>
        <w:widowControl w:val="0"/>
        <w:suppressLineNumbers w:val="0"/>
        <w:kinsoku/>
        <w:wordWrap/>
        <w:topLinePunct w:val="0"/>
        <w:bidi w:val="0"/>
        <w:snapToGrid/>
        <w:jc w:val="left"/>
        <w:rPr>
          <w:rFonts w:hint="default"/>
          <w:b w:val="0"/>
          <w:bCs w:val="0"/>
          <w:i w:val="0"/>
          <w:iCs w:val="0"/>
          <w:color w:val="auto"/>
          <w:lang w:val="en-US" w:eastAsia="zh-CN"/>
        </w:rPr>
      </w:pPr>
      <w:r>
        <w:rPr>
          <w:rFonts w:hint="eastAsia"/>
          <w:b/>
          <w:bCs/>
          <w:i w:val="0"/>
          <w:iCs w:val="0"/>
          <w:lang w:val="en-US" w:eastAsia="zh-CN"/>
        </w:rPr>
        <w:t>Proposal 1:</w:t>
      </w:r>
      <w:r>
        <w:rPr>
          <w:rFonts w:hint="eastAsia"/>
          <w:b w:val="0"/>
          <w:bCs w:val="0"/>
          <w:i w:val="0"/>
          <w:iCs w:val="0"/>
          <w:lang w:val="en-US" w:eastAsia="zh-CN"/>
        </w:rPr>
        <w:t xml:space="preserve"> to use following GSCN for NTN Ka-band as</w:t>
      </w:r>
    </w:p>
    <w:p>
      <w:pPr>
        <w:keepNext/>
        <w:keepLines/>
        <w:pageBreakBefore w:val="0"/>
        <w:widowControl/>
        <w:suppressLineNumbers w:val="0"/>
        <w:kinsoku/>
        <w:wordWrap/>
        <w:topLinePunct w:val="0"/>
        <w:bidi w:val="0"/>
        <w:ind w:firstLine="0" w:firstLineChars="0"/>
        <w:jc w:val="both"/>
        <w:rPr>
          <w:rFonts w:hint="default"/>
          <w:b/>
          <w:bCs/>
          <w:i w:val="0"/>
          <w:iCs w:val="0"/>
          <w:color w:val="auto"/>
          <w:u w:val="none"/>
          <w:lang w:val="en-US" w:eastAsia="zh-CN"/>
        </w:rPr>
      </w:pP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35"/>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35"/>
              <w:rPr>
                <w:rFonts w:eastAsia="Yu Mincho"/>
              </w:rPr>
            </w:pPr>
            <w:r>
              <w:rPr>
                <w:lang w:eastAsia="zh-CN"/>
              </w:rPr>
              <w:t>SS Block pattern</w:t>
            </w:r>
            <w:r>
              <w:rPr>
                <w:lang w:eastAsia="zh-CN"/>
              </w:rPr>
              <w:br w:type="textWrapping"/>
            </w:r>
            <w:r>
              <w:rPr>
                <w:lang w:eastAsia="zh-CN"/>
              </w:rPr>
              <w:t>(note 1)</w:t>
            </w:r>
          </w:p>
        </w:tc>
        <w:tc>
          <w:tcPr>
            <w:tcW w:w="2593" w:type="dxa"/>
            <w:tcBorders>
              <w:top w:val="single" w:color="auto" w:sz="4" w:space="0"/>
              <w:left w:val="single" w:color="auto" w:sz="4" w:space="0"/>
              <w:bottom w:val="single" w:color="auto" w:sz="4" w:space="0"/>
              <w:right w:val="single" w:color="auto" w:sz="4" w:space="0"/>
            </w:tcBorders>
          </w:tcPr>
          <w:p>
            <w:pPr>
              <w:pStyle w:val="35"/>
              <w:rPr>
                <w:rFonts w:eastAsia="Yu Mincho"/>
                <w:vertAlign w:val="subscript"/>
                <w:lang w:val="en-US"/>
              </w:rPr>
            </w:pPr>
            <w:r>
              <w:rPr>
                <w:rFonts w:eastAsia="Yu Mincho"/>
                <w:lang w:val="en-US"/>
              </w:rPr>
              <w:t>Range of GSCN</w:t>
            </w:r>
          </w:p>
          <w:p>
            <w:pPr>
              <w:pStyle w:val="35"/>
              <w:rPr>
                <w:rFonts w:eastAsia="Yu Mincho"/>
                <w:lang w:val="en-US"/>
              </w:rPr>
            </w:pPr>
            <w:r>
              <w:rPr>
                <w:rFonts w:eastAsia="Yu Mincho"/>
                <w:lang w:val="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36"/>
              <w:rPr>
                <w:rFonts w:eastAsia="Yu Mincho"/>
              </w:rPr>
            </w:pPr>
            <w:r>
              <w:t>n512</w:t>
            </w:r>
          </w:p>
        </w:tc>
        <w:tc>
          <w:tcPr>
            <w:tcW w:w="2165" w:type="dxa"/>
            <w:tcBorders>
              <w:top w:val="single" w:color="auto" w:sz="4" w:space="0"/>
              <w:left w:val="single" w:color="auto" w:sz="4" w:space="0"/>
              <w:bottom w:val="single" w:color="auto" w:sz="4" w:space="0"/>
              <w:right w:val="single" w:color="auto" w:sz="4" w:space="0"/>
            </w:tcBorders>
          </w:tcPr>
          <w:p>
            <w:pPr>
              <w:pStyle w:val="36"/>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36"/>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36"/>
              <w:rPr>
                <w:rFonts w:eastAsia="Yu Mincho"/>
              </w:rPr>
            </w:pPr>
            <w:r>
              <w:t>1744</w:t>
            </w:r>
            <w:r>
              <w:rPr>
                <w:rFonts w:hint="eastAsia"/>
                <w:lang w:val="en-US" w:eastAsia="zh-CN"/>
              </w:rPr>
              <w:t>8</w:t>
            </w:r>
            <w:r>
              <w:t xml:space="preserve"> – &lt;12&gt; – 1942</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36"/>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36"/>
            </w:pPr>
            <w:r>
              <w:t>240 kHz</w:t>
            </w:r>
          </w:p>
        </w:tc>
        <w:tc>
          <w:tcPr>
            <w:tcW w:w="1827" w:type="dxa"/>
            <w:tcBorders>
              <w:top w:val="single" w:color="auto" w:sz="4" w:space="0"/>
              <w:left w:val="single" w:color="auto" w:sz="4" w:space="0"/>
              <w:bottom w:val="single" w:color="auto" w:sz="4" w:space="0"/>
              <w:right w:val="single" w:color="auto" w:sz="4" w:space="0"/>
            </w:tcBorders>
          </w:tcPr>
          <w:p>
            <w:pPr>
              <w:pStyle w:val="36"/>
            </w:pPr>
            <w:r>
              <w:t>Case E</w:t>
            </w:r>
          </w:p>
        </w:tc>
        <w:tc>
          <w:tcPr>
            <w:tcW w:w="2593" w:type="dxa"/>
            <w:tcBorders>
              <w:top w:val="single" w:color="auto" w:sz="4" w:space="0"/>
              <w:left w:val="single" w:color="auto" w:sz="4" w:space="0"/>
              <w:bottom w:val="single" w:color="auto" w:sz="4" w:space="0"/>
              <w:right w:val="single" w:color="auto" w:sz="4" w:space="0"/>
            </w:tcBorders>
          </w:tcPr>
          <w:p>
            <w:pPr>
              <w:pStyle w:val="36"/>
              <w:rPr>
                <w:rFonts w:hint="default" w:eastAsia="宋体"/>
                <w:lang w:val="en-US" w:eastAsia="zh-CN"/>
              </w:rPr>
            </w:pPr>
            <w:r>
              <w:t>174</w:t>
            </w:r>
            <w:r>
              <w:rPr>
                <w:rFonts w:hint="eastAsia" w:eastAsia="宋体"/>
                <w:lang w:val="en-US" w:eastAsia="zh-CN"/>
              </w:rPr>
              <w:t>72</w:t>
            </w:r>
            <w:r>
              <w:t>– &lt;24&gt; – 194</w:t>
            </w:r>
            <w:r>
              <w:rPr>
                <w:rFonts w:hint="eastAsia" w:eastAsia="宋体"/>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36"/>
              <w:rPr>
                <w:rFonts w:eastAsia="Yu Mincho"/>
              </w:rPr>
            </w:pPr>
            <w:r>
              <w:t>n511</w:t>
            </w:r>
          </w:p>
        </w:tc>
        <w:tc>
          <w:tcPr>
            <w:tcW w:w="2165" w:type="dxa"/>
            <w:tcBorders>
              <w:top w:val="single" w:color="auto" w:sz="4" w:space="0"/>
              <w:left w:val="single" w:color="auto" w:sz="4" w:space="0"/>
              <w:bottom w:val="single" w:color="auto" w:sz="4" w:space="0"/>
              <w:right w:val="single" w:color="auto" w:sz="4" w:space="0"/>
            </w:tcBorders>
          </w:tcPr>
          <w:p>
            <w:pPr>
              <w:pStyle w:val="36"/>
            </w:pPr>
            <w:r>
              <w:t>120 kHz</w:t>
            </w:r>
          </w:p>
        </w:tc>
        <w:tc>
          <w:tcPr>
            <w:tcW w:w="1827" w:type="dxa"/>
            <w:tcBorders>
              <w:top w:val="single" w:color="auto" w:sz="4" w:space="0"/>
              <w:left w:val="single" w:color="auto" w:sz="4" w:space="0"/>
              <w:bottom w:val="single" w:color="auto" w:sz="4" w:space="0"/>
              <w:right w:val="single" w:color="auto" w:sz="4" w:space="0"/>
            </w:tcBorders>
          </w:tcPr>
          <w:p>
            <w:pPr>
              <w:pStyle w:val="36"/>
            </w:pPr>
            <w:r>
              <w:t>Case D</w:t>
            </w:r>
          </w:p>
        </w:tc>
        <w:tc>
          <w:tcPr>
            <w:tcW w:w="2593" w:type="dxa"/>
            <w:tcBorders>
              <w:top w:val="single" w:color="auto" w:sz="4" w:space="0"/>
              <w:left w:val="single" w:color="auto" w:sz="4" w:space="0"/>
              <w:bottom w:val="single" w:color="auto" w:sz="4" w:space="0"/>
              <w:right w:val="single" w:color="auto" w:sz="4" w:space="0"/>
            </w:tcBorders>
            <w:vAlign w:val="top"/>
          </w:tcPr>
          <w:p>
            <w:pPr>
              <w:pStyle w:val="36"/>
              <w:rPr>
                <w:rFonts w:eastAsia="Yu Mincho"/>
              </w:rPr>
            </w:pPr>
            <w:r>
              <w:t>1744</w:t>
            </w:r>
            <w:r>
              <w:rPr>
                <w:rFonts w:hint="eastAsia"/>
                <w:lang w:val="en-US" w:eastAsia="zh-CN"/>
              </w:rPr>
              <w:t>8</w:t>
            </w:r>
            <w:r>
              <w:t xml:space="preserve"> – &lt;12&gt; – 1942</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36"/>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36"/>
            </w:pPr>
            <w:r>
              <w:t>240 kHz</w:t>
            </w:r>
          </w:p>
        </w:tc>
        <w:tc>
          <w:tcPr>
            <w:tcW w:w="1827" w:type="dxa"/>
            <w:tcBorders>
              <w:top w:val="single" w:color="auto" w:sz="4" w:space="0"/>
              <w:left w:val="single" w:color="auto" w:sz="4" w:space="0"/>
              <w:bottom w:val="single" w:color="auto" w:sz="4" w:space="0"/>
              <w:right w:val="single" w:color="auto" w:sz="4" w:space="0"/>
            </w:tcBorders>
          </w:tcPr>
          <w:p>
            <w:pPr>
              <w:pStyle w:val="36"/>
              <w:rPr>
                <w:lang w:eastAsia="zh-CN"/>
              </w:rPr>
            </w:pPr>
            <w:r>
              <w:t>Case E</w:t>
            </w:r>
          </w:p>
        </w:tc>
        <w:tc>
          <w:tcPr>
            <w:tcW w:w="2593" w:type="dxa"/>
            <w:tcBorders>
              <w:top w:val="single" w:color="auto" w:sz="4" w:space="0"/>
              <w:left w:val="single" w:color="auto" w:sz="4" w:space="0"/>
              <w:bottom w:val="single" w:color="auto" w:sz="4" w:space="0"/>
              <w:right w:val="single" w:color="auto" w:sz="4" w:space="0"/>
            </w:tcBorders>
            <w:vAlign w:val="top"/>
          </w:tcPr>
          <w:p>
            <w:pPr>
              <w:pStyle w:val="36"/>
            </w:pPr>
            <w:r>
              <w:t>174</w:t>
            </w:r>
            <w:r>
              <w:rPr>
                <w:rFonts w:hint="eastAsia" w:eastAsia="宋体"/>
                <w:lang w:val="en-US" w:eastAsia="zh-CN"/>
              </w:rPr>
              <w:t>72</w:t>
            </w:r>
            <w:r>
              <w:t>– &lt;24&gt; – 194</w:t>
            </w:r>
            <w:r>
              <w:rPr>
                <w:rFonts w:hint="eastAsia" w:eastAsia="宋体"/>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36"/>
              <w:rPr>
                <w:rFonts w:eastAsia="Yu Mincho"/>
              </w:rPr>
            </w:pPr>
            <w:r>
              <w:t>n510</w:t>
            </w:r>
          </w:p>
        </w:tc>
        <w:tc>
          <w:tcPr>
            <w:tcW w:w="2165" w:type="dxa"/>
            <w:tcBorders>
              <w:top w:val="single" w:color="auto" w:sz="4" w:space="0"/>
              <w:left w:val="single" w:color="auto" w:sz="4" w:space="0"/>
              <w:bottom w:val="single" w:color="auto" w:sz="4" w:space="0"/>
              <w:right w:val="single" w:color="auto" w:sz="4" w:space="0"/>
            </w:tcBorders>
          </w:tcPr>
          <w:p>
            <w:pPr>
              <w:pStyle w:val="36"/>
            </w:pPr>
            <w:r>
              <w:t>120 kHz</w:t>
            </w:r>
          </w:p>
        </w:tc>
        <w:tc>
          <w:tcPr>
            <w:tcW w:w="1827" w:type="dxa"/>
            <w:tcBorders>
              <w:top w:val="single" w:color="auto" w:sz="4" w:space="0"/>
              <w:left w:val="single" w:color="auto" w:sz="4" w:space="0"/>
              <w:bottom w:val="single" w:color="auto" w:sz="4" w:space="0"/>
              <w:right w:val="single" w:color="auto" w:sz="4" w:space="0"/>
            </w:tcBorders>
          </w:tcPr>
          <w:p>
            <w:pPr>
              <w:pStyle w:val="36"/>
            </w:pPr>
            <w:r>
              <w:t>Case D</w:t>
            </w:r>
          </w:p>
        </w:tc>
        <w:tc>
          <w:tcPr>
            <w:tcW w:w="2593" w:type="dxa"/>
            <w:tcBorders>
              <w:top w:val="single" w:color="auto" w:sz="4" w:space="0"/>
              <w:left w:val="single" w:color="auto" w:sz="4" w:space="0"/>
              <w:bottom w:val="single" w:color="auto" w:sz="4" w:space="0"/>
              <w:right w:val="single" w:color="auto" w:sz="4" w:space="0"/>
            </w:tcBorders>
            <w:vAlign w:val="top"/>
          </w:tcPr>
          <w:p>
            <w:pPr>
              <w:pStyle w:val="36"/>
              <w:rPr>
                <w:rFonts w:eastAsia="Yu Mincho"/>
              </w:rPr>
            </w:pPr>
            <w:r>
              <w:t>1744</w:t>
            </w:r>
            <w:r>
              <w:rPr>
                <w:rFonts w:hint="eastAsia"/>
                <w:lang w:val="en-US" w:eastAsia="zh-CN"/>
              </w:rPr>
              <w:t>8</w:t>
            </w:r>
            <w:r>
              <w:t xml:space="preserve"> – &lt;12&gt; – 1942</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36"/>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36"/>
            </w:pPr>
            <w:r>
              <w:t>240 kHz</w:t>
            </w:r>
          </w:p>
        </w:tc>
        <w:tc>
          <w:tcPr>
            <w:tcW w:w="1827" w:type="dxa"/>
            <w:tcBorders>
              <w:top w:val="single" w:color="auto" w:sz="4" w:space="0"/>
              <w:left w:val="single" w:color="auto" w:sz="4" w:space="0"/>
              <w:bottom w:val="single" w:color="auto" w:sz="4" w:space="0"/>
              <w:right w:val="single" w:color="auto" w:sz="4" w:space="0"/>
            </w:tcBorders>
          </w:tcPr>
          <w:p>
            <w:pPr>
              <w:pStyle w:val="36"/>
            </w:pPr>
            <w:r>
              <w:t>Case E</w:t>
            </w:r>
          </w:p>
        </w:tc>
        <w:tc>
          <w:tcPr>
            <w:tcW w:w="2593" w:type="dxa"/>
            <w:tcBorders>
              <w:top w:val="single" w:color="auto" w:sz="4" w:space="0"/>
              <w:left w:val="single" w:color="auto" w:sz="4" w:space="0"/>
              <w:bottom w:val="single" w:color="auto" w:sz="4" w:space="0"/>
              <w:right w:val="single" w:color="auto" w:sz="4" w:space="0"/>
            </w:tcBorders>
            <w:vAlign w:val="top"/>
          </w:tcPr>
          <w:p>
            <w:pPr>
              <w:pStyle w:val="36"/>
            </w:pPr>
            <w:r>
              <w:t>174</w:t>
            </w:r>
            <w:r>
              <w:rPr>
                <w:rFonts w:hint="eastAsia" w:eastAsia="宋体"/>
                <w:lang w:val="en-US" w:eastAsia="zh-CN"/>
              </w:rPr>
              <w:t>72</w:t>
            </w:r>
            <w:r>
              <w:t>– &lt;24&gt; – 194</w:t>
            </w:r>
            <w:r>
              <w:rPr>
                <w:rFonts w:hint="eastAsia" w:eastAsia="宋体"/>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48"/>
              <w:rPr>
                <w:lang w:val="en-US"/>
              </w:rPr>
            </w:pPr>
            <w:r>
              <w:rPr>
                <w:lang w:val="en-US"/>
              </w:rPr>
              <w:t>NOTE 1:</w:t>
            </w:r>
            <w:r>
              <w:rPr>
                <w:lang w:val="en-US"/>
              </w:rPr>
              <w:tab/>
            </w:r>
            <w:r>
              <w:rPr>
                <w:lang w:val="en-US"/>
              </w:rPr>
              <w:t>SS Block pattern is defined in section 4.1 in TS 38.213.</w:t>
            </w:r>
          </w:p>
        </w:tc>
      </w:tr>
    </w:tbl>
    <w:p>
      <w:pPr>
        <w:keepNext/>
        <w:keepLines/>
        <w:pageBreakBefore w:val="0"/>
        <w:widowControl/>
        <w:suppressLineNumbers w:val="0"/>
        <w:kinsoku/>
        <w:wordWrap/>
        <w:topLinePunct w:val="0"/>
        <w:bidi w:val="0"/>
        <w:ind w:firstLine="0" w:firstLineChars="0"/>
        <w:jc w:val="both"/>
        <w:rPr>
          <w:rFonts w:hint="default"/>
          <w:b/>
          <w:bCs/>
          <w:i w:val="0"/>
          <w:iCs w:val="0"/>
          <w:color w:val="auto"/>
          <w:u w:val="none"/>
          <w:lang w:val="en-US" w:eastAsia="zh-CN"/>
        </w:rPr>
      </w:pPr>
    </w:p>
    <w:bookmarkEnd w:id="2"/>
    <w:bookmarkEnd w:id="3"/>
    <w:bookmarkEnd w:id="4"/>
    <w:bookmarkEnd w:id="5"/>
    <w:bookmarkEnd w:id="6"/>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eastAsia="zh-CN"/>
        </w:rPr>
        <w:t>from system parameter perspective for NTN Ka-band</w:t>
      </w:r>
      <w:r>
        <w:rPr>
          <w:rFonts w:hint="eastAsia" w:eastAsia="宋体"/>
          <w:lang w:val="en-US" w:eastAsia="zh-CN"/>
        </w:rPr>
        <w:t>.</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keepNext w:val="0"/>
        <w:keepLines w:val="0"/>
        <w:pageBreakBefore w:val="0"/>
        <w:widowControl w:val="0"/>
        <w:suppressLineNumbers w:val="0"/>
        <w:kinsoku/>
        <w:wordWrap/>
        <w:topLinePunct w:val="0"/>
        <w:bidi w:val="0"/>
        <w:snapToGrid/>
        <w:jc w:val="left"/>
        <w:rPr>
          <w:rFonts w:hint="eastAsia"/>
          <w:lang w:val="en-US" w:eastAsia="zh-CN"/>
        </w:rPr>
      </w:pPr>
      <w:r>
        <w:rPr>
          <w:rFonts w:hint="eastAsia"/>
          <w:b/>
          <w:bCs/>
          <w:i w:val="0"/>
          <w:iCs w:val="0"/>
          <w:lang w:val="en-US" w:eastAsia="zh-CN"/>
        </w:rPr>
        <w:t>Proposal 1:</w:t>
      </w:r>
      <w:r>
        <w:rPr>
          <w:rFonts w:hint="eastAsia"/>
          <w:b w:val="0"/>
          <w:bCs w:val="0"/>
          <w:i w:val="0"/>
          <w:iCs w:val="0"/>
          <w:lang w:val="en-US" w:eastAsia="zh-CN"/>
        </w:rPr>
        <w:t xml:space="preserve"> to use following GSCN for Ka-band as </w:t>
      </w:r>
    </w:p>
    <w:p>
      <w:pPr>
        <w:pStyle w:val="45"/>
        <w:rPr>
          <w:rFonts w:eastAsia="Yu Mincho"/>
          <w:lang w:val="en-US"/>
        </w:rPr>
      </w:pPr>
      <w:r>
        <w:rPr>
          <w:rFonts w:eastAsia="Yu Mincho"/>
          <w:lang w:val="en-US"/>
        </w:rPr>
        <w:t xml:space="preserve">Table 4: Applicable SS raster entries per </w:t>
      </w:r>
      <w:r>
        <w:rPr>
          <w:rFonts w:eastAsia="Yu Mincho"/>
          <w:i/>
          <w:lang w:val="en-US"/>
        </w:rPr>
        <w:t>operating band</w:t>
      </w:r>
      <w:r>
        <w:rPr>
          <w:rFonts w:eastAsia="Yu Mincho"/>
          <w:lang w:val="en-US"/>
        </w:rPr>
        <w:t xml:space="preserve"> (FR2-NTN)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35"/>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35"/>
              <w:rPr>
                <w:rFonts w:eastAsia="Yu Mincho"/>
              </w:rPr>
            </w:pPr>
            <w:r>
              <w:rPr>
                <w:lang w:eastAsia="zh-CN"/>
              </w:rPr>
              <w:t>SS Block pattern</w:t>
            </w:r>
            <w:r>
              <w:rPr>
                <w:lang w:eastAsia="zh-CN"/>
              </w:rPr>
              <w:br w:type="textWrapping"/>
            </w:r>
            <w:r>
              <w:rPr>
                <w:lang w:eastAsia="zh-CN"/>
              </w:rPr>
              <w:t>(note 1)</w:t>
            </w:r>
          </w:p>
        </w:tc>
        <w:tc>
          <w:tcPr>
            <w:tcW w:w="2593" w:type="dxa"/>
            <w:tcBorders>
              <w:top w:val="single" w:color="auto" w:sz="4" w:space="0"/>
              <w:left w:val="single" w:color="auto" w:sz="4" w:space="0"/>
              <w:bottom w:val="single" w:color="auto" w:sz="4" w:space="0"/>
              <w:right w:val="single" w:color="auto" w:sz="4" w:space="0"/>
            </w:tcBorders>
          </w:tcPr>
          <w:p>
            <w:pPr>
              <w:pStyle w:val="35"/>
              <w:rPr>
                <w:rFonts w:eastAsia="Yu Mincho"/>
                <w:vertAlign w:val="subscript"/>
                <w:lang w:val="en-US"/>
              </w:rPr>
            </w:pPr>
            <w:r>
              <w:rPr>
                <w:rFonts w:eastAsia="Yu Mincho"/>
                <w:lang w:val="en-US"/>
              </w:rPr>
              <w:t>Range of GSCN</w:t>
            </w:r>
          </w:p>
          <w:p>
            <w:pPr>
              <w:pStyle w:val="35"/>
              <w:rPr>
                <w:rFonts w:eastAsia="Yu Mincho"/>
                <w:lang w:val="en-US"/>
              </w:rPr>
            </w:pPr>
            <w:r>
              <w:rPr>
                <w:rFonts w:eastAsia="Yu Mincho"/>
                <w:lang w:val="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36"/>
              <w:rPr>
                <w:rFonts w:eastAsia="Yu Mincho"/>
              </w:rPr>
            </w:pPr>
            <w:r>
              <w:t>n512</w:t>
            </w:r>
          </w:p>
        </w:tc>
        <w:tc>
          <w:tcPr>
            <w:tcW w:w="2165" w:type="dxa"/>
            <w:tcBorders>
              <w:top w:val="single" w:color="auto" w:sz="4" w:space="0"/>
              <w:left w:val="single" w:color="auto" w:sz="4" w:space="0"/>
              <w:bottom w:val="single" w:color="auto" w:sz="4" w:space="0"/>
              <w:right w:val="single" w:color="auto" w:sz="4" w:space="0"/>
            </w:tcBorders>
          </w:tcPr>
          <w:p>
            <w:pPr>
              <w:pStyle w:val="36"/>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36"/>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36"/>
              <w:rPr>
                <w:rFonts w:eastAsia="Yu Mincho"/>
              </w:rPr>
            </w:pPr>
            <w:r>
              <w:t>1744</w:t>
            </w:r>
            <w:r>
              <w:rPr>
                <w:rFonts w:hint="eastAsia"/>
                <w:lang w:val="en-US" w:eastAsia="zh-CN"/>
              </w:rPr>
              <w:t>8</w:t>
            </w:r>
            <w:r>
              <w:t xml:space="preserve"> – &lt;12&gt; – 1942</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36"/>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36"/>
            </w:pPr>
            <w:r>
              <w:t>240 kHz</w:t>
            </w:r>
          </w:p>
        </w:tc>
        <w:tc>
          <w:tcPr>
            <w:tcW w:w="1827" w:type="dxa"/>
            <w:tcBorders>
              <w:top w:val="single" w:color="auto" w:sz="4" w:space="0"/>
              <w:left w:val="single" w:color="auto" w:sz="4" w:space="0"/>
              <w:bottom w:val="single" w:color="auto" w:sz="4" w:space="0"/>
              <w:right w:val="single" w:color="auto" w:sz="4" w:space="0"/>
            </w:tcBorders>
          </w:tcPr>
          <w:p>
            <w:pPr>
              <w:pStyle w:val="36"/>
            </w:pPr>
            <w:r>
              <w:t>Case E</w:t>
            </w:r>
          </w:p>
        </w:tc>
        <w:tc>
          <w:tcPr>
            <w:tcW w:w="2593" w:type="dxa"/>
            <w:tcBorders>
              <w:top w:val="single" w:color="auto" w:sz="4" w:space="0"/>
              <w:left w:val="single" w:color="auto" w:sz="4" w:space="0"/>
              <w:bottom w:val="single" w:color="auto" w:sz="4" w:space="0"/>
              <w:right w:val="single" w:color="auto" w:sz="4" w:space="0"/>
            </w:tcBorders>
          </w:tcPr>
          <w:p>
            <w:pPr>
              <w:pStyle w:val="36"/>
              <w:rPr>
                <w:rFonts w:hint="default" w:eastAsia="宋体"/>
                <w:lang w:val="en-US" w:eastAsia="zh-CN"/>
              </w:rPr>
            </w:pPr>
            <w:r>
              <w:t>174</w:t>
            </w:r>
            <w:r>
              <w:rPr>
                <w:rFonts w:hint="eastAsia" w:eastAsia="宋体"/>
                <w:lang w:val="en-US" w:eastAsia="zh-CN"/>
              </w:rPr>
              <w:t>72</w:t>
            </w:r>
            <w:r>
              <w:t>– &lt;24&gt; – 194</w:t>
            </w:r>
            <w:r>
              <w:rPr>
                <w:rFonts w:hint="eastAsia" w:eastAsia="宋体"/>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36"/>
              <w:rPr>
                <w:rFonts w:eastAsia="Yu Mincho"/>
              </w:rPr>
            </w:pPr>
            <w:r>
              <w:t>n511</w:t>
            </w:r>
          </w:p>
        </w:tc>
        <w:tc>
          <w:tcPr>
            <w:tcW w:w="2165" w:type="dxa"/>
            <w:tcBorders>
              <w:top w:val="single" w:color="auto" w:sz="4" w:space="0"/>
              <w:left w:val="single" w:color="auto" w:sz="4" w:space="0"/>
              <w:bottom w:val="single" w:color="auto" w:sz="4" w:space="0"/>
              <w:right w:val="single" w:color="auto" w:sz="4" w:space="0"/>
            </w:tcBorders>
          </w:tcPr>
          <w:p>
            <w:pPr>
              <w:pStyle w:val="36"/>
            </w:pPr>
            <w:r>
              <w:t>120 kHz</w:t>
            </w:r>
          </w:p>
        </w:tc>
        <w:tc>
          <w:tcPr>
            <w:tcW w:w="1827" w:type="dxa"/>
            <w:tcBorders>
              <w:top w:val="single" w:color="auto" w:sz="4" w:space="0"/>
              <w:left w:val="single" w:color="auto" w:sz="4" w:space="0"/>
              <w:bottom w:val="single" w:color="auto" w:sz="4" w:space="0"/>
              <w:right w:val="single" w:color="auto" w:sz="4" w:space="0"/>
            </w:tcBorders>
          </w:tcPr>
          <w:p>
            <w:pPr>
              <w:pStyle w:val="36"/>
            </w:pPr>
            <w:r>
              <w:t>Case D</w:t>
            </w:r>
          </w:p>
        </w:tc>
        <w:tc>
          <w:tcPr>
            <w:tcW w:w="2593" w:type="dxa"/>
            <w:tcBorders>
              <w:top w:val="single" w:color="auto" w:sz="4" w:space="0"/>
              <w:left w:val="single" w:color="auto" w:sz="4" w:space="0"/>
              <w:bottom w:val="single" w:color="auto" w:sz="4" w:space="0"/>
              <w:right w:val="single" w:color="auto" w:sz="4" w:space="0"/>
            </w:tcBorders>
            <w:vAlign w:val="top"/>
          </w:tcPr>
          <w:p>
            <w:pPr>
              <w:pStyle w:val="36"/>
              <w:rPr>
                <w:rFonts w:eastAsia="Yu Mincho"/>
              </w:rPr>
            </w:pPr>
            <w:r>
              <w:t>1744</w:t>
            </w:r>
            <w:r>
              <w:rPr>
                <w:rFonts w:hint="eastAsia"/>
                <w:lang w:val="en-US" w:eastAsia="zh-CN"/>
              </w:rPr>
              <w:t>8</w:t>
            </w:r>
            <w:r>
              <w:t xml:space="preserve"> – &lt;12&gt; – 1942</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36"/>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36"/>
            </w:pPr>
            <w:r>
              <w:t>240 kHz</w:t>
            </w:r>
          </w:p>
        </w:tc>
        <w:tc>
          <w:tcPr>
            <w:tcW w:w="1827" w:type="dxa"/>
            <w:tcBorders>
              <w:top w:val="single" w:color="auto" w:sz="4" w:space="0"/>
              <w:left w:val="single" w:color="auto" w:sz="4" w:space="0"/>
              <w:bottom w:val="single" w:color="auto" w:sz="4" w:space="0"/>
              <w:right w:val="single" w:color="auto" w:sz="4" w:space="0"/>
            </w:tcBorders>
          </w:tcPr>
          <w:p>
            <w:pPr>
              <w:pStyle w:val="36"/>
              <w:rPr>
                <w:lang w:eastAsia="zh-CN"/>
              </w:rPr>
            </w:pPr>
            <w:r>
              <w:t>Case E</w:t>
            </w:r>
          </w:p>
        </w:tc>
        <w:tc>
          <w:tcPr>
            <w:tcW w:w="2593" w:type="dxa"/>
            <w:tcBorders>
              <w:top w:val="single" w:color="auto" w:sz="4" w:space="0"/>
              <w:left w:val="single" w:color="auto" w:sz="4" w:space="0"/>
              <w:bottom w:val="single" w:color="auto" w:sz="4" w:space="0"/>
              <w:right w:val="single" w:color="auto" w:sz="4" w:space="0"/>
            </w:tcBorders>
            <w:vAlign w:val="top"/>
          </w:tcPr>
          <w:p>
            <w:pPr>
              <w:pStyle w:val="36"/>
            </w:pPr>
            <w:r>
              <w:t>174</w:t>
            </w:r>
            <w:r>
              <w:rPr>
                <w:rFonts w:hint="eastAsia" w:eastAsia="宋体"/>
                <w:lang w:val="en-US" w:eastAsia="zh-CN"/>
              </w:rPr>
              <w:t>72</w:t>
            </w:r>
            <w:r>
              <w:t>– &lt;24&gt; – 194</w:t>
            </w:r>
            <w:r>
              <w:rPr>
                <w:rFonts w:hint="eastAsia" w:eastAsia="宋体"/>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36"/>
              <w:rPr>
                <w:rFonts w:eastAsia="Yu Mincho"/>
              </w:rPr>
            </w:pPr>
            <w:r>
              <w:t>n510</w:t>
            </w:r>
          </w:p>
        </w:tc>
        <w:tc>
          <w:tcPr>
            <w:tcW w:w="2165" w:type="dxa"/>
            <w:tcBorders>
              <w:top w:val="single" w:color="auto" w:sz="4" w:space="0"/>
              <w:left w:val="single" w:color="auto" w:sz="4" w:space="0"/>
              <w:bottom w:val="single" w:color="auto" w:sz="4" w:space="0"/>
              <w:right w:val="single" w:color="auto" w:sz="4" w:space="0"/>
            </w:tcBorders>
          </w:tcPr>
          <w:p>
            <w:pPr>
              <w:pStyle w:val="36"/>
            </w:pPr>
            <w:r>
              <w:t>120 kHz</w:t>
            </w:r>
          </w:p>
        </w:tc>
        <w:tc>
          <w:tcPr>
            <w:tcW w:w="1827" w:type="dxa"/>
            <w:tcBorders>
              <w:top w:val="single" w:color="auto" w:sz="4" w:space="0"/>
              <w:left w:val="single" w:color="auto" w:sz="4" w:space="0"/>
              <w:bottom w:val="single" w:color="auto" w:sz="4" w:space="0"/>
              <w:right w:val="single" w:color="auto" w:sz="4" w:space="0"/>
            </w:tcBorders>
          </w:tcPr>
          <w:p>
            <w:pPr>
              <w:pStyle w:val="36"/>
            </w:pPr>
            <w:r>
              <w:t>Case D</w:t>
            </w:r>
          </w:p>
        </w:tc>
        <w:tc>
          <w:tcPr>
            <w:tcW w:w="2593" w:type="dxa"/>
            <w:tcBorders>
              <w:top w:val="single" w:color="auto" w:sz="4" w:space="0"/>
              <w:left w:val="single" w:color="auto" w:sz="4" w:space="0"/>
              <w:bottom w:val="single" w:color="auto" w:sz="4" w:space="0"/>
              <w:right w:val="single" w:color="auto" w:sz="4" w:space="0"/>
            </w:tcBorders>
            <w:vAlign w:val="top"/>
          </w:tcPr>
          <w:p>
            <w:pPr>
              <w:pStyle w:val="36"/>
              <w:rPr>
                <w:rFonts w:eastAsia="Yu Mincho"/>
              </w:rPr>
            </w:pPr>
            <w:r>
              <w:t>1744</w:t>
            </w:r>
            <w:r>
              <w:rPr>
                <w:rFonts w:hint="eastAsia"/>
                <w:lang w:val="en-US" w:eastAsia="zh-CN"/>
              </w:rPr>
              <w:t>8</w:t>
            </w:r>
            <w:r>
              <w:t xml:space="preserve"> – &lt;12&gt; – 1942</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36"/>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36"/>
            </w:pPr>
            <w:r>
              <w:t>240 kHz</w:t>
            </w:r>
          </w:p>
        </w:tc>
        <w:tc>
          <w:tcPr>
            <w:tcW w:w="1827" w:type="dxa"/>
            <w:tcBorders>
              <w:top w:val="single" w:color="auto" w:sz="4" w:space="0"/>
              <w:left w:val="single" w:color="auto" w:sz="4" w:space="0"/>
              <w:bottom w:val="single" w:color="auto" w:sz="4" w:space="0"/>
              <w:right w:val="single" w:color="auto" w:sz="4" w:space="0"/>
            </w:tcBorders>
          </w:tcPr>
          <w:p>
            <w:pPr>
              <w:pStyle w:val="36"/>
            </w:pPr>
            <w:r>
              <w:t>Case E</w:t>
            </w:r>
          </w:p>
        </w:tc>
        <w:tc>
          <w:tcPr>
            <w:tcW w:w="2593" w:type="dxa"/>
            <w:tcBorders>
              <w:top w:val="single" w:color="auto" w:sz="4" w:space="0"/>
              <w:left w:val="single" w:color="auto" w:sz="4" w:space="0"/>
              <w:bottom w:val="single" w:color="auto" w:sz="4" w:space="0"/>
              <w:right w:val="single" w:color="auto" w:sz="4" w:space="0"/>
            </w:tcBorders>
            <w:vAlign w:val="top"/>
          </w:tcPr>
          <w:p>
            <w:pPr>
              <w:pStyle w:val="36"/>
            </w:pPr>
            <w:r>
              <w:t>174</w:t>
            </w:r>
            <w:r>
              <w:rPr>
                <w:rFonts w:hint="eastAsia" w:eastAsia="宋体"/>
                <w:lang w:val="en-US" w:eastAsia="zh-CN"/>
              </w:rPr>
              <w:t>72</w:t>
            </w:r>
            <w:r>
              <w:t>– &lt;24&gt; – 194</w:t>
            </w:r>
            <w:r>
              <w:rPr>
                <w:rFonts w:hint="eastAsia" w:eastAsia="宋体"/>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48"/>
              <w:rPr>
                <w:lang w:val="en-US"/>
              </w:rPr>
            </w:pPr>
            <w:r>
              <w:rPr>
                <w:lang w:val="en-US"/>
              </w:rPr>
              <w:t>NOTE 1:</w:t>
            </w:r>
            <w:r>
              <w:rPr>
                <w:lang w:val="en-US"/>
              </w:rPr>
              <w:tab/>
            </w:r>
            <w:r>
              <w:rPr>
                <w:lang w:val="en-US"/>
              </w:rPr>
              <w:t>SS Block pattern is defined in section 4.1 in TS 38.213.</w:t>
            </w:r>
          </w:p>
        </w:tc>
      </w:tr>
    </w:tbl>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p>
    <w:p>
      <w:pPr>
        <w:pStyle w:val="55"/>
        <w:tabs>
          <w:tab w:val="left" w:pos="567"/>
          <w:tab w:val="clear" w:pos="1985"/>
        </w:tabs>
        <w:adjustRightInd w:val="0"/>
        <w:ind w:left="510" w:hanging="510"/>
        <w:rPr>
          <w:highlight w:val="none"/>
        </w:rPr>
      </w:pPr>
      <w:r>
        <w:rPr>
          <w:highlight w:val="none"/>
        </w:rPr>
        <w:t>References</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RP-222654</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Core part: NR NTN (Non-Terrestrial Networks) enhancements</w:t>
      </w:r>
      <w:r>
        <w:rPr>
          <w:rFonts w:hint="eastAsia" w:cs="Times New Roman"/>
          <w:sz w:val="20"/>
          <w:szCs w:val="20"/>
          <w:highlight w:val="none"/>
          <w:lang w:val="en-US" w:eastAsia="zh-CN"/>
        </w:rPr>
        <w:t>, Thales, Approved.</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cs="Times New Roman"/>
          <w:b w:val="0"/>
          <w:sz w:val="20"/>
          <w:szCs w:val="20"/>
          <w:highlight w:val="none"/>
          <w:u w:val="none"/>
        </w:rPr>
        <w:t>R4-2217496</w:t>
      </w:r>
      <w:r>
        <w:rPr>
          <w:rFonts w:hint="eastAsia" w:cs="Times New Roman"/>
          <w:b w:val="0"/>
          <w:sz w:val="20"/>
          <w:szCs w:val="20"/>
          <w:highlight w:val="none"/>
          <w:u w:val="none"/>
          <w:lang w:val="en-US" w:eastAsia="zh-CN"/>
        </w:rPr>
        <w:t xml:space="preserve">, </w:t>
      </w:r>
      <w:r>
        <w:rPr>
          <w:rFonts w:hint="eastAsia" w:ascii="Times New Roman" w:hAnsi="Times New Roman" w:cs="Times New Roman"/>
          <w:b w:val="0"/>
          <w:sz w:val="20"/>
          <w:szCs w:val="20"/>
          <w:highlight w:val="none"/>
        </w:rPr>
        <w:t>Email discussion summary for [104-bis-e][312] NR_NTN_enh_Part1</w:t>
      </w:r>
    </w:p>
    <w:p>
      <w:pPr>
        <w:pStyle w:val="53"/>
        <w:numPr>
          <w:ilvl w:val="0"/>
          <w:numId w:val="3"/>
        </w:numPr>
        <w:rPr>
          <w:rFonts w:hint="eastAsia" w:ascii="Times New Roman" w:hAnsi="Times New Roman" w:cs="Times New Roman"/>
          <w:b w:val="0"/>
          <w:sz w:val="20"/>
          <w:szCs w:val="20"/>
          <w:highlight w:val="none"/>
        </w:rPr>
      </w:pPr>
      <w:r>
        <w:rPr>
          <w:rFonts w:hint="eastAsia" w:ascii="Times New Roman" w:hAnsi="Times New Roman" w:cs="Times New Roman"/>
          <w:b w:val="0"/>
          <w:sz w:val="20"/>
          <w:szCs w:val="20"/>
          <w:highlight w:val="none"/>
          <w:u w:val="none"/>
        </w:rPr>
        <w:t>R4-2217467</w:t>
      </w:r>
      <w:r>
        <w:rPr>
          <w:rFonts w:hint="eastAsia" w:cs="Times New Roman"/>
          <w:b w:val="0"/>
          <w:sz w:val="20"/>
          <w:szCs w:val="20"/>
          <w:highlight w:val="none"/>
          <w:u w:val="none"/>
          <w:lang w:val="en-US" w:eastAsia="zh-CN"/>
        </w:rPr>
        <w:t>,</w:t>
      </w:r>
      <w:r>
        <w:rPr>
          <w:rFonts w:hint="eastAsia" w:ascii="Times New Roman" w:hAnsi="Times New Roman" w:cs="Times New Roman"/>
          <w:b w:val="0"/>
          <w:sz w:val="20"/>
          <w:szCs w:val="20"/>
          <w:highlight w:val="none"/>
          <w:u w:val="none"/>
        </w:rPr>
        <w:t xml:space="preserve"> </w:t>
      </w:r>
      <w:r>
        <w:rPr>
          <w:rFonts w:hint="eastAsia" w:ascii="Times New Roman" w:hAnsi="Times New Roman" w:cs="Times New Roman"/>
          <w:b w:val="0"/>
          <w:sz w:val="20"/>
          <w:szCs w:val="20"/>
          <w:highlight w:val="none"/>
        </w:rPr>
        <w:t>WF on NR NTN Enhancements Part1</w:t>
      </w:r>
      <w:r>
        <w:rPr>
          <w:rFonts w:hint="eastAsia" w:cs="Times New Roman"/>
          <w:b w:val="0"/>
          <w:sz w:val="20"/>
          <w:szCs w:val="20"/>
          <w:highlight w:val="none"/>
          <w:lang w:val="en-US" w:eastAsia="zh-CN"/>
        </w:rPr>
        <w:t>, Thales, approved.</w:t>
      </w:r>
    </w:p>
    <w:p>
      <w:pPr>
        <w:pStyle w:val="53"/>
        <w:numPr>
          <w:ilvl w:val="0"/>
          <w:numId w:val="3"/>
        </w:numPr>
        <w:rPr>
          <w:rFonts w:hint="eastAsia" w:ascii="Times New Roman" w:hAnsi="Times New Roman" w:eastAsia="宋体" w:cs="Times New Roman"/>
          <w:i w:val="0"/>
          <w:caps w:val="0"/>
          <w:spacing w:val="0"/>
          <w:sz w:val="20"/>
          <w:szCs w:val="20"/>
          <w:highlight w:val="none"/>
          <w:u w:val="none"/>
        </w:rPr>
      </w:pPr>
      <w:r>
        <w:rPr>
          <w:rFonts w:hint="eastAsia" w:ascii="Times New Roman" w:hAnsi="Times New Roman" w:eastAsia="宋体" w:cs="Times New Roman"/>
          <w:i w:val="0"/>
          <w:caps w:val="0"/>
          <w:spacing w:val="0"/>
          <w:sz w:val="20"/>
          <w:szCs w:val="20"/>
          <w:highlight w:val="none"/>
          <w:u w:val="none"/>
        </w:rPr>
        <w:fldChar w:fldCharType="begin"/>
      </w:r>
      <w:r>
        <w:rPr>
          <w:rFonts w:hint="eastAsia" w:ascii="Times New Roman" w:hAnsi="Times New Roman" w:eastAsia="宋体" w:cs="Times New Roman"/>
          <w:i w:val="0"/>
          <w:caps w:val="0"/>
          <w:spacing w:val="0"/>
          <w:sz w:val="20"/>
          <w:szCs w:val="20"/>
          <w:highlight w:val="none"/>
          <w:u w:val="none"/>
        </w:rPr>
        <w:instrText xml:space="preserve"> HYPERLINK "https://www.3gpp.org/ftp/TSG_RAN/WG4_Radio/TSGR4_84/Docs/R4-1709181.zip" \t "https://portal.3gpp.org/ngppapp/_blank" </w:instrText>
      </w:r>
      <w:r>
        <w:rPr>
          <w:rFonts w:hint="eastAsia" w:ascii="Times New Roman" w:hAnsi="Times New Roman" w:eastAsia="宋体" w:cs="Times New Roman"/>
          <w:i w:val="0"/>
          <w:caps w:val="0"/>
          <w:spacing w:val="0"/>
          <w:sz w:val="20"/>
          <w:szCs w:val="20"/>
          <w:highlight w:val="none"/>
          <w:u w:val="none"/>
        </w:rPr>
        <w:fldChar w:fldCharType="separate"/>
      </w:r>
      <w:r>
        <w:rPr>
          <w:rFonts w:hint="eastAsia" w:ascii="Times New Roman" w:hAnsi="Times New Roman" w:eastAsia="宋体" w:cs="Times New Roman"/>
          <w:i w:val="0"/>
          <w:caps w:val="0"/>
          <w:spacing w:val="0"/>
          <w:sz w:val="20"/>
          <w:szCs w:val="20"/>
          <w:highlight w:val="none"/>
          <w:u w:val="none"/>
        </w:rPr>
        <w:t>R4-1709181</w:t>
      </w:r>
      <w:r>
        <w:rPr>
          <w:rFonts w:hint="eastAsia" w:ascii="Times New Roman" w:hAnsi="Times New Roman" w:eastAsia="宋体" w:cs="Times New Roman"/>
          <w:i w:val="0"/>
          <w:caps w:val="0"/>
          <w:spacing w:val="0"/>
          <w:sz w:val="20"/>
          <w:szCs w:val="20"/>
          <w:highlight w:val="none"/>
          <w:u w:val="none"/>
        </w:rPr>
        <w:fldChar w:fldCharType="end"/>
      </w:r>
      <w:r>
        <w:rPr>
          <w:rFonts w:hint="eastAsia" w:ascii="Times New Roman" w:hAnsi="Times New Roman" w:eastAsia="宋体"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rPr>
        <w:t>WF on NR band Numbering</w:t>
      </w:r>
      <w:r>
        <w:rPr>
          <w:rFonts w:hint="eastAsia" w:ascii="Times New Roman" w:hAnsi="Times New Roman" w:eastAsia="宋体" w:cs="Times New Roman"/>
          <w:i w:val="0"/>
          <w:caps w:val="0"/>
          <w:spacing w:val="0"/>
          <w:sz w:val="20"/>
          <w:szCs w:val="20"/>
          <w:highlight w:val="none"/>
          <w:u w:val="none"/>
          <w:lang w:val="en-US" w:eastAsia="zh-CN"/>
        </w:rPr>
        <w:t>, approved.</w:t>
      </w:r>
    </w:p>
    <w:p>
      <w:pPr>
        <w:pStyle w:val="53"/>
        <w:numPr>
          <w:ilvl w:val="0"/>
          <w:numId w:val="3"/>
        </w:numPr>
        <w:rPr>
          <w:rFonts w:hint="eastAsia" w:ascii="Times New Roman" w:hAnsi="Times New Roman" w:eastAsia="宋体" w:cs="Times New Roman"/>
          <w:i w:val="0"/>
          <w:caps w:val="0"/>
          <w:spacing w:val="0"/>
          <w:sz w:val="20"/>
          <w:szCs w:val="20"/>
          <w:highlight w:val="none"/>
          <w:u w:val="none"/>
        </w:rPr>
      </w:pPr>
      <w:r>
        <w:rPr>
          <w:rFonts w:hint="eastAsia" w:ascii="Times New Roman" w:hAnsi="Times New Roman" w:eastAsia="宋体" w:cs="Times New Roman"/>
          <w:i w:val="0"/>
          <w:caps w:val="0"/>
          <w:spacing w:val="0"/>
          <w:sz w:val="20"/>
          <w:szCs w:val="20"/>
          <w:highlight w:val="none"/>
          <w:u w:val="none"/>
        </w:rPr>
        <w:t>R4-2220224 Ad-hoc minutes for NTN above 10GHz band introduction</w:t>
      </w:r>
    </w:p>
    <w:p>
      <w:pPr>
        <w:pStyle w:val="53"/>
        <w:numPr>
          <w:ilvl w:val="0"/>
          <w:numId w:val="3"/>
        </w:numPr>
        <w:rPr>
          <w:rFonts w:hint="eastAsia" w:ascii="Times New Roman" w:hAnsi="Times New Roman" w:eastAsia="宋体" w:cs="Times New Roman"/>
          <w:i w:val="0"/>
          <w:caps w:val="0"/>
          <w:spacing w:val="0"/>
          <w:sz w:val="20"/>
          <w:szCs w:val="20"/>
          <w:highlight w:val="none"/>
          <w:u w:val="none"/>
          <w:lang w:eastAsia="zh-CN"/>
        </w:rPr>
      </w:pPr>
      <w:r>
        <w:rPr>
          <w:rFonts w:hint="eastAsia" w:ascii="Times New Roman" w:hAnsi="Times New Roman" w:eastAsia="宋体" w:cs="Times New Roman"/>
          <w:i w:val="0"/>
          <w:caps w:val="0"/>
          <w:spacing w:val="0"/>
          <w:sz w:val="20"/>
          <w:szCs w:val="20"/>
          <w:highlight w:val="none"/>
          <w:u w:val="none"/>
        </w:rPr>
        <w:t xml:space="preserve">R4-2220239 WF for </w:t>
      </w:r>
      <w:r>
        <w:rPr>
          <w:rFonts w:hint="eastAsia" w:ascii="Times New Roman" w:hAnsi="Times New Roman" w:eastAsia="宋体" w:cs="Times New Roman"/>
          <w:i w:val="0"/>
          <w:caps w:val="0"/>
          <w:spacing w:val="0"/>
          <w:sz w:val="20"/>
          <w:szCs w:val="20"/>
          <w:highlight w:val="none"/>
          <w:u w:val="none"/>
          <w:lang w:eastAsia="zh-CN"/>
        </w:rPr>
        <w:t>above</w:t>
      </w:r>
      <w:r>
        <w:rPr>
          <w:rFonts w:hint="eastAsia" w:ascii="Times New Roman" w:hAnsi="Times New Roman" w:eastAsia="宋体" w:cs="Times New Roman"/>
          <w:i w:val="0"/>
          <w:caps w:val="0"/>
          <w:spacing w:val="0"/>
          <w:sz w:val="20"/>
          <w:szCs w:val="20"/>
          <w:highlight w:val="none"/>
          <w:u w:val="none"/>
        </w:rPr>
        <w:t xml:space="preserve"> 10</w:t>
      </w:r>
      <w:r>
        <w:rPr>
          <w:rFonts w:hint="eastAsia" w:ascii="Times New Roman" w:hAnsi="Times New Roman" w:eastAsia="宋体" w:cs="Times New Roman"/>
          <w:i w:val="0"/>
          <w:caps w:val="0"/>
          <w:spacing w:val="0"/>
          <w:sz w:val="20"/>
          <w:szCs w:val="20"/>
          <w:highlight w:val="none"/>
          <w:u w:val="none"/>
          <w:lang w:eastAsia="zh-CN"/>
        </w:rPr>
        <w:t>GHz</w:t>
      </w:r>
      <w:r>
        <w:rPr>
          <w:rFonts w:hint="eastAsia" w:ascii="Times New Roman" w:hAnsi="Times New Roman" w:eastAsia="宋体" w:cs="Times New Roman"/>
          <w:i w:val="0"/>
          <w:caps w:val="0"/>
          <w:spacing w:val="0"/>
          <w:sz w:val="20"/>
          <w:szCs w:val="20"/>
          <w:highlight w:val="none"/>
          <w:u w:val="none"/>
        </w:rPr>
        <w:t xml:space="preserve"> </w:t>
      </w:r>
      <w:r>
        <w:rPr>
          <w:rFonts w:hint="eastAsia" w:ascii="Times New Roman" w:hAnsi="Times New Roman" w:eastAsia="宋体" w:cs="Times New Roman"/>
          <w:i w:val="0"/>
          <w:caps w:val="0"/>
          <w:spacing w:val="0"/>
          <w:sz w:val="20"/>
          <w:szCs w:val="20"/>
          <w:highlight w:val="none"/>
          <w:u w:val="none"/>
          <w:lang w:eastAsia="zh-CN"/>
        </w:rPr>
        <w:t>band</w:t>
      </w:r>
      <w:r>
        <w:rPr>
          <w:rFonts w:hint="eastAsia" w:ascii="Times New Roman" w:hAnsi="Times New Roman" w:eastAsia="宋体" w:cs="Times New Roman"/>
          <w:i w:val="0"/>
          <w:caps w:val="0"/>
          <w:spacing w:val="0"/>
          <w:sz w:val="20"/>
          <w:szCs w:val="20"/>
          <w:highlight w:val="none"/>
          <w:u w:val="none"/>
        </w:rPr>
        <w:t xml:space="preserve"> </w:t>
      </w:r>
      <w:r>
        <w:rPr>
          <w:rFonts w:hint="eastAsia" w:ascii="Times New Roman" w:hAnsi="Times New Roman" w:eastAsia="宋体" w:cs="Times New Roman"/>
          <w:i w:val="0"/>
          <w:caps w:val="0"/>
          <w:spacing w:val="0"/>
          <w:sz w:val="20"/>
          <w:szCs w:val="20"/>
          <w:highlight w:val="none"/>
          <w:u w:val="none"/>
          <w:lang w:eastAsia="zh-CN"/>
        </w:rPr>
        <w:t>definition</w:t>
      </w:r>
      <w:r>
        <w:rPr>
          <w:rFonts w:hint="eastAsia" w:ascii="Times New Roman" w:hAnsi="Times New Roman" w:eastAsia="宋体" w:cs="Times New Roman"/>
          <w:i w:val="0"/>
          <w:caps w:val="0"/>
          <w:spacing w:val="0"/>
          <w:sz w:val="20"/>
          <w:szCs w:val="20"/>
          <w:highlight w:val="none"/>
          <w:u w:val="none"/>
        </w:rPr>
        <w:t xml:space="preserve"> </w:t>
      </w:r>
      <w:r>
        <w:rPr>
          <w:rFonts w:hint="eastAsia" w:ascii="Times New Roman" w:hAnsi="Times New Roman" w:eastAsia="宋体" w:cs="Times New Roman"/>
          <w:i w:val="0"/>
          <w:caps w:val="0"/>
          <w:spacing w:val="0"/>
          <w:sz w:val="20"/>
          <w:szCs w:val="20"/>
          <w:highlight w:val="none"/>
          <w:u w:val="none"/>
          <w:lang w:eastAsia="zh-CN"/>
        </w:rPr>
        <w:t>and</w:t>
      </w:r>
      <w:r>
        <w:rPr>
          <w:rFonts w:hint="eastAsia" w:ascii="Times New Roman" w:hAnsi="Times New Roman" w:eastAsia="宋体" w:cs="Times New Roman"/>
          <w:i w:val="0"/>
          <w:caps w:val="0"/>
          <w:spacing w:val="0"/>
          <w:sz w:val="20"/>
          <w:szCs w:val="20"/>
          <w:highlight w:val="none"/>
          <w:u w:val="none"/>
        </w:rPr>
        <w:t xml:space="preserve"> </w:t>
      </w:r>
      <w:r>
        <w:rPr>
          <w:rFonts w:hint="eastAsia" w:ascii="Times New Roman" w:hAnsi="Times New Roman" w:eastAsia="宋体" w:cs="Times New Roman"/>
          <w:i w:val="0"/>
          <w:caps w:val="0"/>
          <w:spacing w:val="0"/>
          <w:sz w:val="20"/>
          <w:szCs w:val="20"/>
          <w:highlight w:val="none"/>
          <w:u w:val="none"/>
          <w:lang w:eastAsia="zh-CN"/>
        </w:rPr>
        <w:t>system</w:t>
      </w:r>
      <w:r>
        <w:rPr>
          <w:rFonts w:hint="eastAsia" w:ascii="Times New Roman" w:hAnsi="Times New Roman" w:eastAsia="宋体" w:cs="Times New Roman"/>
          <w:i w:val="0"/>
          <w:caps w:val="0"/>
          <w:spacing w:val="0"/>
          <w:sz w:val="20"/>
          <w:szCs w:val="20"/>
          <w:highlight w:val="none"/>
          <w:u w:val="none"/>
        </w:rPr>
        <w:t xml:space="preserve"> </w:t>
      </w:r>
      <w:r>
        <w:rPr>
          <w:rFonts w:hint="eastAsia" w:ascii="Times New Roman" w:hAnsi="Times New Roman" w:eastAsia="宋体" w:cs="Times New Roman"/>
          <w:i w:val="0"/>
          <w:caps w:val="0"/>
          <w:spacing w:val="0"/>
          <w:sz w:val="20"/>
          <w:szCs w:val="20"/>
          <w:highlight w:val="none"/>
          <w:u w:val="none"/>
          <w:lang w:eastAsia="zh-CN"/>
        </w:rPr>
        <w:t>parameters</w:t>
      </w:r>
      <w:r>
        <w:rPr>
          <w:rFonts w:hint="eastAsia" w:ascii="Times New Roman" w:hAnsi="Times New Roman" w:eastAsia="宋体"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lang w:eastAsia="zh-CN"/>
        </w:rPr>
        <w:t>Thales</w:t>
      </w:r>
      <w:r>
        <w:rPr>
          <w:rFonts w:hint="eastAsia" w:cs="Times New Roman"/>
          <w:i w:val="0"/>
          <w:caps w:val="0"/>
          <w:spacing w:val="0"/>
          <w:sz w:val="20"/>
          <w:szCs w:val="20"/>
          <w:highlight w:val="none"/>
          <w:u w:val="none"/>
          <w:lang w:val="en-US" w:eastAsia="zh-CN"/>
        </w:rPr>
        <w:t>, Approved.</w:t>
      </w:r>
    </w:p>
    <w:p>
      <w:pPr>
        <w:pStyle w:val="53"/>
        <w:numPr>
          <w:ilvl w:val="0"/>
          <w:numId w:val="3"/>
        </w:numPr>
        <w:rPr>
          <w:rFonts w:hint="eastAsia" w:ascii="Times New Roman" w:hAnsi="Times New Roman" w:eastAsia="宋体" w:cs="Times New Roman"/>
          <w:i w:val="0"/>
          <w:caps w:val="0"/>
          <w:spacing w:val="0"/>
          <w:sz w:val="20"/>
          <w:szCs w:val="20"/>
          <w:highlight w:val="none"/>
          <w:u w:val="none"/>
          <w:lang w:eastAsia="zh-CN"/>
        </w:rPr>
      </w:pPr>
      <w:r>
        <w:rPr>
          <w:rFonts w:hint="eastAsia" w:ascii="Times New Roman" w:hAnsi="Times New Roman" w:eastAsia="宋体" w:cs="Times New Roman"/>
          <w:i w:val="0"/>
          <w:caps w:val="0"/>
          <w:spacing w:val="0"/>
          <w:sz w:val="20"/>
          <w:szCs w:val="20"/>
          <w:highlight w:val="none"/>
          <w:u w:val="none"/>
        </w:rPr>
        <w:t>R4-2302879</w:t>
      </w:r>
      <w:r>
        <w:rPr>
          <w:rFonts w:hint="eastAsia" w:cs="Times New Roman"/>
          <w:i w:val="0"/>
          <w:caps w:val="0"/>
          <w:spacing w:val="0"/>
          <w:sz w:val="20"/>
          <w:szCs w:val="20"/>
          <w:highlight w:val="none"/>
          <w:u w:val="none"/>
          <w:lang w:val="en-US" w:eastAsia="zh-CN"/>
        </w:rPr>
        <w:t xml:space="preserve">, </w:t>
      </w:r>
      <w:r>
        <w:rPr>
          <w:rFonts w:hint="eastAsia" w:ascii="Times New Roman" w:hAnsi="Times New Roman" w:eastAsia="宋体" w:cs="Times New Roman"/>
          <w:i w:val="0"/>
          <w:caps w:val="0"/>
          <w:spacing w:val="0"/>
          <w:sz w:val="20"/>
          <w:szCs w:val="20"/>
          <w:highlight w:val="none"/>
          <w:u w:val="none"/>
        </w:rPr>
        <w:t>Ad-hoc minutes for system parameters of above 10GHz NTN band introduction</w:t>
      </w:r>
      <w:r>
        <w:rPr>
          <w:rFonts w:hint="eastAsia" w:cs="Times New Roman"/>
          <w:i w:val="0"/>
          <w:caps w:val="0"/>
          <w:spacing w:val="0"/>
          <w:sz w:val="20"/>
          <w:szCs w:val="20"/>
          <w:highlight w:val="none"/>
          <w:u w:val="none"/>
          <w:lang w:val="en-US" w:eastAsia="zh-CN"/>
        </w:rPr>
        <w:t>, Qualcomm, Approved.</w:t>
      </w:r>
    </w:p>
    <w:p>
      <w:pPr>
        <w:pStyle w:val="53"/>
        <w:numPr>
          <w:ilvl w:val="0"/>
          <w:numId w:val="3"/>
        </w:numPr>
        <w:rPr>
          <w:rFonts w:hint="eastAsia" w:ascii="Times New Roman" w:hAnsi="Times New Roman" w:eastAsia="宋体" w:cs="Times New Roman"/>
          <w:i w:val="0"/>
          <w:caps w:val="0"/>
          <w:spacing w:val="0"/>
          <w:sz w:val="20"/>
          <w:szCs w:val="20"/>
          <w:highlight w:val="none"/>
          <w:u w:val="none"/>
        </w:rPr>
      </w:pPr>
      <w:r>
        <w:rPr>
          <w:rFonts w:hint="eastAsia" w:ascii="Times New Roman" w:hAnsi="Times New Roman" w:eastAsia="宋体" w:cs="Times New Roman"/>
          <w:i w:val="0"/>
          <w:caps w:val="0"/>
          <w:spacing w:val="0"/>
          <w:sz w:val="20"/>
          <w:szCs w:val="20"/>
          <w:highlight w:val="none"/>
          <w:u w:val="none"/>
        </w:rPr>
        <w:t>R4-2305925</w:t>
      </w:r>
      <w:r>
        <w:rPr>
          <w:rFonts w:hint="eastAsia" w:ascii="Times New Roman" w:hAnsi="Times New Roman" w:eastAsia="宋体" w:cs="Times New Roman"/>
          <w:i w:val="0"/>
          <w:caps w:val="0"/>
          <w:spacing w:val="0"/>
          <w:sz w:val="20"/>
          <w:szCs w:val="20"/>
          <w:highlight w:val="none"/>
          <w:u w:val="none"/>
          <w:lang w:val="en-US" w:eastAsia="zh-CN"/>
        </w:rPr>
        <w:tab/>
      </w:r>
      <w:r>
        <w:rPr>
          <w:rFonts w:hint="eastAsia" w:ascii="Times New Roman" w:hAnsi="Times New Roman" w:eastAsia="宋体" w:cs="Times New Roman"/>
          <w:i w:val="0"/>
          <w:caps w:val="0"/>
          <w:spacing w:val="0"/>
          <w:sz w:val="20"/>
          <w:szCs w:val="20"/>
          <w:highlight w:val="none"/>
          <w:u w:val="none"/>
          <w:lang w:val="en-US" w:eastAsia="zh-CN"/>
        </w:rPr>
        <w:t>WF on NTN enhancement - [106bis-e][309] NR_NTN_enh_Part1,Approved.</w:t>
      </w:r>
    </w:p>
    <w:p>
      <w:pPr>
        <w:pStyle w:val="53"/>
        <w:numPr>
          <w:ilvl w:val="0"/>
          <w:numId w:val="3"/>
        </w:numPr>
        <w:rPr>
          <w:rFonts w:hint="eastAsia" w:ascii="Times New Roman" w:hAnsi="Times New Roman" w:eastAsia="宋体" w:cs="Times New Roman"/>
          <w:i w:val="0"/>
          <w:caps w:val="0"/>
          <w:spacing w:val="0"/>
          <w:sz w:val="20"/>
          <w:szCs w:val="20"/>
          <w:highlight w:val="none"/>
          <w:u w:val="none"/>
        </w:rPr>
      </w:pPr>
      <w:r>
        <w:rPr>
          <w:rFonts w:hint="eastAsia" w:ascii="Times New Roman" w:hAnsi="Times New Roman" w:eastAsia="宋体" w:cs="Times New Roman"/>
          <w:i w:val="0"/>
          <w:caps w:val="0"/>
          <w:spacing w:val="0"/>
          <w:sz w:val="20"/>
          <w:szCs w:val="20"/>
          <w:highlight w:val="none"/>
          <w:u w:val="none"/>
        </w:rPr>
        <w:t>R4-2309766</w:t>
      </w:r>
      <w:r>
        <w:rPr>
          <w:rFonts w:hint="eastAsia" w:ascii="Times New Roman" w:hAnsi="Times New Roman" w:eastAsia="宋体" w:cs="Times New Roman"/>
          <w:i w:val="0"/>
          <w:caps w:val="0"/>
          <w:spacing w:val="0"/>
          <w:sz w:val="20"/>
          <w:szCs w:val="20"/>
          <w:highlight w:val="none"/>
          <w:u w:val="none"/>
          <w:lang w:val="en-US" w:eastAsia="zh-CN"/>
        </w:rPr>
        <w:tab/>
      </w:r>
      <w:r>
        <w:rPr>
          <w:rFonts w:hint="eastAsia" w:ascii="Times New Roman" w:hAnsi="Times New Roman" w:eastAsia="宋体" w:cs="Times New Roman"/>
          <w:i w:val="0"/>
          <w:caps w:val="0"/>
          <w:spacing w:val="0"/>
          <w:sz w:val="20"/>
          <w:szCs w:val="20"/>
          <w:highlight w:val="none"/>
          <w:u w:val="none"/>
        </w:rPr>
        <w:t>WF for system parameters on Ka band</w:t>
      </w:r>
      <w:r>
        <w:rPr>
          <w:rFonts w:hint="eastAsia" w:ascii="Times New Roman" w:hAnsi="Times New Roman" w:eastAsia="宋体" w:cs="Times New Roman"/>
          <w:i w:val="0"/>
          <w:caps w:val="0"/>
          <w:spacing w:val="0"/>
          <w:sz w:val="20"/>
          <w:szCs w:val="20"/>
          <w:highlight w:val="none"/>
          <w:u w:val="none"/>
          <w:lang w:val="en-US" w:eastAsia="zh-CN"/>
        </w:rPr>
        <w:t>, Thales, Approved.</w:t>
      </w:r>
      <w:r>
        <w:rPr>
          <w:rFonts w:hint="eastAsia" w:ascii="Times New Roman" w:hAnsi="Times New Roman" w:eastAsia="宋体" w:cs="Times New Roman"/>
          <w:i w:val="0"/>
          <w:caps w:val="0"/>
          <w:spacing w:val="0"/>
          <w:sz w:val="20"/>
          <w:szCs w:val="20"/>
          <w:highlight w:val="none"/>
          <w:u w:val="none"/>
        </w:rPr>
        <w:t xml:space="preserve"> </w:t>
      </w:r>
    </w:p>
    <w:p>
      <w:pPr>
        <w:pStyle w:val="53"/>
        <w:numPr>
          <w:ilvl w:val="0"/>
          <w:numId w:val="3"/>
        </w:numPr>
        <w:rPr>
          <w:rFonts w:hint="eastAsia" w:ascii="Times New Roman" w:hAnsi="Times New Roman" w:eastAsia="宋体" w:cs="Times New Roman"/>
          <w:i w:val="0"/>
          <w:caps w:val="0"/>
          <w:spacing w:val="0"/>
          <w:sz w:val="20"/>
          <w:szCs w:val="20"/>
          <w:highlight w:val="none"/>
          <w:u w:val="none"/>
        </w:rPr>
      </w:pPr>
      <w:r>
        <w:rPr>
          <w:rFonts w:hint="eastAsia" w:ascii="Times New Roman" w:hAnsi="Times New Roman" w:eastAsia="宋体" w:cs="Times New Roman"/>
          <w:i w:val="0"/>
          <w:caps w:val="0"/>
          <w:spacing w:val="0"/>
          <w:sz w:val="20"/>
          <w:szCs w:val="20"/>
          <w:highlight w:val="none"/>
          <w:u w:val="none"/>
        </w:rPr>
        <w:t>R4-2309182</w:t>
      </w:r>
      <w:r>
        <w:rPr>
          <w:rFonts w:hint="eastAsia" w:ascii="Times New Roman" w:hAnsi="Times New Roman" w:eastAsia="宋体" w:cs="Times New Roman"/>
          <w:i w:val="0"/>
          <w:caps w:val="0"/>
          <w:spacing w:val="0"/>
          <w:sz w:val="20"/>
          <w:szCs w:val="20"/>
          <w:highlight w:val="none"/>
          <w:u w:val="none"/>
        </w:rPr>
        <w:tab/>
      </w:r>
      <w:r>
        <w:rPr>
          <w:rFonts w:hint="eastAsia" w:ascii="Times New Roman" w:hAnsi="Times New Roman" w:eastAsia="宋体" w:cs="Times New Roman"/>
          <w:i w:val="0"/>
          <w:caps w:val="0"/>
          <w:spacing w:val="0"/>
          <w:sz w:val="20"/>
          <w:szCs w:val="20"/>
          <w:highlight w:val="none"/>
          <w:u w:val="none"/>
        </w:rPr>
        <w:t>Further discussion on system parameter for NTN in Ka band</w:t>
      </w:r>
      <w:r>
        <w:rPr>
          <w:rFonts w:hint="eastAsia" w:cs="Times New Roman"/>
          <w:i w:val="0"/>
          <w:caps w:val="0"/>
          <w:spacing w:val="0"/>
          <w:sz w:val="20"/>
          <w:szCs w:val="20"/>
          <w:highlight w:val="none"/>
          <w:u w:val="none"/>
          <w:lang w:val="en-US" w:eastAsia="zh-CN"/>
        </w:rPr>
        <w:t>, ZTE, Noted</w:t>
      </w:r>
    </w:p>
    <w:p>
      <w:pPr>
        <w:pStyle w:val="53"/>
        <w:numPr>
          <w:ilvl w:val="0"/>
          <w:numId w:val="0"/>
        </w:numPr>
        <w:rPr>
          <w:rFonts w:hint="eastAsia" w:ascii="Times New Roman" w:hAnsi="Times New Roman" w:eastAsia="宋体" w:cs="Times New Roman"/>
          <w:i w:val="0"/>
          <w:caps w:val="0"/>
          <w:spacing w:val="0"/>
          <w:sz w:val="20"/>
          <w:szCs w:val="20"/>
          <w:highlight w:val="none"/>
          <w:u w:val="none"/>
        </w:rPr>
      </w:pPr>
    </w:p>
    <w:p>
      <w:pPr>
        <w:pStyle w:val="53"/>
        <w:numPr>
          <w:ilvl w:val="0"/>
          <w:numId w:val="0"/>
        </w:numPr>
        <w:rPr>
          <w:rFonts w:hint="eastAsia" w:ascii="Times New Roman" w:hAnsi="Times New Roman" w:eastAsia="宋体" w:cs="Times New Roman"/>
          <w:i w:val="0"/>
          <w:caps w:val="0"/>
          <w:spacing w:val="0"/>
          <w:sz w:val="20"/>
          <w:szCs w:val="20"/>
          <w:highlight w:val="none"/>
          <w:u w:val="none"/>
        </w:rPr>
      </w:pPr>
    </w:p>
    <w:p>
      <w:pPr>
        <w:pStyle w:val="53"/>
        <w:numPr>
          <w:ilvl w:val="0"/>
          <w:numId w:val="0"/>
        </w:numPr>
        <w:rPr>
          <w:rFonts w:hint="eastAsia" w:ascii="Times New Roman" w:hAnsi="Times New Roman" w:eastAsia="宋体" w:cs="Times New Roman"/>
          <w:i w:val="0"/>
          <w:caps w:val="0"/>
          <w:spacing w:val="0"/>
          <w:sz w:val="20"/>
          <w:szCs w:val="20"/>
          <w:highlight w:val="none"/>
          <w:u w:val="none"/>
          <w:lang w:eastAsia="zh-CN"/>
        </w:rPr>
      </w:pPr>
    </w:p>
    <w:p>
      <w:pPr>
        <w:pStyle w:val="53"/>
        <w:numPr>
          <w:ilvl w:val="0"/>
          <w:numId w:val="0"/>
        </w:numPr>
        <w:rPr>
          <w:rFonts w:hint="eastAsia" w:ascii="Times New Roman" w:hAnsi="Times New Roman" w:cs="Times New Roman"/>
          <w:b w:val="0"/>
          <w:sz w:val="20"/>
          <w:szCs w:val="20"/>
          <w:highlight w:val="none"/>
        </w:rPr>
      </w:pPr>
    </w:p>
    <w:p>
      <w:pPr>
        <w:pStyle w:val="53"/>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1780" w:hanging="360"/>
      </w:pPr>
      <w:rPr>
        <w:rFonts w:hint="default" w:ascii="Symbol" w:hAnsi="Symbol"/>
      </w:rPr>
    </w:lvl>
    <w:lvl w:ilvl="1" w:tentative="0">
      <w:start w:val="1"/>
      <w:numFmt w:val="bullet"/>
      <w:lvlText w:val="o"/>
      <w:lvlJc w:val="left"/>
      <w:pPr>
        <w:ind w:left="2500" w:hanging="360"/>
      </w:pPr>
      <w:rPr>
        <w:rFonts w:hint="default" w:ascii="Courier New" w:hAnsi="Courier New" w:cs="Courier New"/>
      </w:rPr>
    </w:lvl>
    <w:lvl w:ilvl="2" w:tentative="0">
      <w:start w:val="1"/>
      <w:numFmt w:val="bullet"/>
      <w:lvlText w:val=""/>
      <w:lvlJc w:val="left"/>
      <w:pPr>
        <w:ind w:left="3220" w:hanging="360"/>
      </w:pPr>
      <w:rPr>
        <w:rFonts w:hint="default" w:ascii="Wingdings" w:hAnsi="Wingdings"/>
      </w:rPr>
    </w:lvl>
    <w:lvl w:ilvl="3" w:tentative="0">
      <w:start w:val="1"/>
      <w:numFmt w:val="bullet"/>
      <w:lvlText w:val=""/>
      <w:lvlJc w:val="left"/>
      <w:pPr>
        <w:ind w:left="3940" w:hanging="360"/>
      </w:pPr>
      <w:rPr>
        <w:rFonts w:hint="default" w:ascii="Symbol" w:hAnsi="Symbol"/>
      </w:rPr>
    </w:lvl>
    <w:lvl w:ilvl="4" w:tentative="0">
      <w:start w:val="1"/>
      <w:numFmt w:val="bullet"/>
      <w:lvlText w:val="o"/>
      <w:lvlJc w:val="left"/>
      <w:pPr>
        <w:ind w:left="4660" w:hanging="360"/>
      </w:pPr>
      <w:rPr>
        <w:rFonts w:hint="default" w:ascii="Courier New" w:hAnsi="Courier New" w:cs="Courier New"/>
      </w:rPr>
    </w:lvl>
    <w:lvl w:ilvl="5" w:tentative="0">
      <w:start w:val="1"/>
      <w:numFmt w:val="bullet"/>
      <w:lvlText w:val=""/>
      <w:lvlJc w:val="left"/>
      <w:pPr>
        <w:ind w:left="5380" w:hanging="360"/>
      </w:pPr>
      <w:rPr>
        <w:rFonts w:hint="default" w:ascii="Wingdings" w:hAnsi="Wingdings"/>
      </w:rPr>
    </w:lvl>
    <w:lvl w:ilvl="6" w:tentative="0">
      <w:start w:val="1"/>
      <w:numFmt w:val="bullet"/>
      <w:lvlText w:val=""/>
      <w:lvlJc w:val="left"/>
      <w:pPr>
        <w:ind w:left="6100" w:hanging="360"/>
      </w:pPr>
      <w:rPr>
        <w:rFonts w:hint="default" w:ascii="Symbol" w:hAnsi="Symbol"/>
      </w:rPr>
    </w:lvl>
    <w:lvl w:ilvl="7" w:tentative="0">
      <w:start w:val="1"/>
      <w:numFmt w:val="bullet"/>
      <w:lvlText w:val="o"/>
      <w:lvlJc w:val="left"/>
      <w:pPr>
        <w:ind w:left="6820" w:hanging="360"/>
      </w:pPr>
      <w:rPr>
        <w:rFonts w:hint="default" w:ascii="Courier New" w:hAnsi="Courier New" w:cs="Courier New"/>
      </w:rPr>
    </w:lvl>
    <w:lvl w:ilvl="8" w:tentative="0">
      <w:start w:val="1"/>
      <w:numFmt w:val="bullet"/>
      <w:lvlText w:val=""/>
      <w:lvlJc w:val="left"/>
      <w:pPr>
        <w:ind w:left="7540" w:hanging="360"/>
      </w:pPr>
      <w:rPr>
        <w:rFonts w:hint="default" w:ascii="Wingdings" w:hAnsi="Wingdings"/>
      </w:r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896"/>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6B7048"/>
    <w:rsid w:val="027035EC"/>
    <w:rsid w:val="0280035E"/>
    <w:rsid w:val="028742F5"/>
    <w:rsid w:val="028748E0"/>
    <w:rsid w:val="02892A7A"/>
    <w:rsid w:val="02927A98"/>
    <w:rsid w:val="029342BD"/>
    <w:rsid w:val="029D3139"/>
    <w:rsid w:val="02AF6836"/>
    <w:rsid w:val="02B02D5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A7D52"/>
    <w:rsid w:val="033D44BC"/>
    <w:rsid w:val="033F52A3"/>
    <w:rsid w:val="033F7E0C"/>
    <w:rsid w:val="03402EB3"/>
    <w:rsid w:val="034C342E"/>
    <w:rsid w:val="034C5C4D"/>
    <w:rsid w:val="034E41AA"/>
    <w:rsid w:val="0354325C"/>
    <w:rsid w:val="035C4C68"/>
    <w:rsid w:val="035D2EB4"/>
    <w:rsid w:val="03651217"/>
    <w:rsid w:val="03687ADD"/>
    <w:rsid w:val="03696DA6"/>
    <w:rsid w:val="036A231E"/>
    <w:rsid w:val="036E0F29"/>
    <w:rsid w:val="037252C8"/>
    <w:rsid w:val="03774924"/>
    <w:rsid w:val="03822F79"/>
    <w:rsid w:val="0395764C"/>
    <w:rsid w:val="03974352"/>
    <w:rsid w:val="039B69FD"/>
    <w:rsid w:val="03A32E58"/>
    <w:rsid w:val="03BB3B47"/>
    <w:rsid w:val="03C0647A"/>
    <w:rsid w:val="03C6618A"/>
    <w:rsid w:val="03CD06E1"/>
    <w:rsid w:val="03CD6E1F"/>
    <w:rsid w:val="03D3772A"/>
    <w:rsid w:val="03D4427A"/>
    <w:rsid w:val="03D85D8B"/>
    <w:rsid w:val="03D9743D"/>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6E4028"/>
    <w:rsid w:val="05734531"/>
    <w:rsid w:val="05784E56"/>
    <w:rsid w:val="057F0408"/>
    <w:rsid w:val="05804262"/>
    <w:rsid w:val="05816D10"/>
    <w:rsid w:val="058E6ED4"/>
    <w:rsid w:val="05930F73"/>
    <w:rsid w:val="05940F3F"/>
    <w:rsid w:val="05984412"/>
    <w:rsid w:val="05991C8F"/>
    <w:rsid w:val="05A706E9"/>
    <w:rsid w:val="05A9742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17E09"/>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7193"/>
    <w:rsid w:val="072B7E46"/>
    <w:rsid w:val="072F2139"/>
    <w:rsid w:val="07357EB2"/>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9874F1"/>
    <w:rsid w:val="07A2728D"/>
    <w:rsid w:val="07A80D41"/>
    <w:rsid w:val="07AA3E51"/>
    <w:rsid w:val="07BE51B2"/>
    <w:rsid w:val="07C5157D"/>
    <w:rsid w:val="07D835FB"/>
    <w:rsid w:val="07DD018B"/>
    <w:rsid w:val="07E014BE"/>
    <w:rsid w:val="07E04AA8"/>
    <w:rsid w:val="07E85751"/>
    <w:rsid w:val="07ED5339"/>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DC5323"/>
    <w:rsid w:val="08E0451F"/>
    <w:rsid w:val="08F10FA0"/>
    <w:rsid w:val="08F5200D"/>
    <w:rsid w:val="08F911CC"/>
    <w:rsid w:val="08FF0A1F"/>
    <w:rsid w:val="09016732"/>
    <w:rsid w:val="090731EE"/>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2615B"/>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2D3A24"/>
    <w:rsid w:val="0A312533"/>
    <w:rsid w:val="0A335E1D"/>
    <w:rsid w:val="0A3A0D5D"/>
    <w:rsid w:val="0A475F1B"/>
    <w:rsid w:val="0A483EAD"/>
    <w:rsid w:val="0A5056C6"/>
    <w:rsid w:val="0A5060D6"/>
    <w:rsid w:val="0A544B53"/>
    <w:rsid w:val="0A5F4C2E"/>
    <w:rsid w:val="0A61702D"/>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60B2F"/>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8A537E"/>
    <w:rsid w:val="0B936E39"/>
    <w:rsid w:val="0B9C0905"/>
    <w:rsid w:val="0B9E13B0"/>
    <w:rsid w:val="0BB02C8B"/>
    <w:rsid w:val="0BB2460A"/>
    <w:rsid w:val="0BB41CFB"/>
    <w:rsid w:val="0BB53F3C"/>
    <w:rsid w:val="0BC739F0"/>
    <w:rsid w:val="0BD21910"/>
    <w:rsid w:val="0BDA3782"/>
    <w:rsid w:val="0BDB5584"/>
    <w:rsid w:val="0BE03DAA"/>
    <w:rsid w:val="0BE17727"/>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1489A"/>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E6493C"/>
    <w:rsid w:val="0CEA06E8"/>
    <w:rsid w:val="0CF5634C"/>
    <w:rsid w:val="0CFB0C0D"/>
    <w:rsid w:val="0D0148C7"/>
    <w:rsid w:val="0D0213CD"/>
    <w:rsid w:val="0D04575D"/>
    <w:rsid w:val="0D0612B8"/>
    <w:rsid w:val="0D066A9C"/>
    <w:rsid w:val="0D0714BC"/>
    <w:rsid w:val="0D135280"/>
    <w:rsid w:val="0D136EF9"/>
    <w:rsid w:val="0D19652C"/>
    <w:rsid w:val="0D1A52C8"/>
    <w:rsid w:val="0D1C1D16"/>
    <w:rsid w:val="0D21615D"/>
    <w:rsid w:val="0D2454BF"/>
    <w:rsid w:val="0D2767B5"/>
    <w:rsid w:val="0D3E327E"/>
    <w:rsid w:val="0D3F4797"/>
    <w:rsid w:val="0D432A3E"/>
    <w:rsid w:val="0D480AA9"/>
    <w:rsid w:val="0D5800C7"/>
    <w:rsid w:val="0D5B6E86"/>
    <w:rsid w:val="0D5C19E9"/>
    <w:rsid w:val="0D604B9B"/>
    <w:rsid w:val="0D63712E"/>
    <w:rsid w:val="0D6A353C"/>
    <w:rsid w:val="0D813BDF"/>
    <w:rsid w:val="0D826C81"/>
    <w:rsid w:val="0D904522"/>
    <w:rsid w:val="0D976014"/>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0F6316"/>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BE77EA"/>
    <w:rsid w:val="0FC12836"/>
    <w:rsid w:val="0FD95333"/>
    <w:rsid w:val="0FEB0378"/>
    <w:rsid w:val="0FEC322B"/>
    <w:rsid w:val="0FEC6EF6"/>
    <w:rsid w:val="10045EE6"/>
    <w:rsid w:val="100C1580"/>
    <w:rsid w:val="100D3B17"/>
    <w:rsid w:val="10154FE6"/>
    <w:rsid w:val="101571DA"/>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07A5"/>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AF7714"/>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81555"/>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A5A30"/>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94950"/>
    <w:rsid w:val="155B1745"/>
    <w:rsid w:val="155C27D0"/>
    <w:rsid w:val="155F651D"/>
    <w:rsid w:val="15655F19"/>
    <w:rsid w:val="156778BF"/>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52629"/>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76BE5"/>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276D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62D3D"/>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65D77"/>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20ED1"/>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0634"/>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2384A"/>
    <w:rsid w:val="1B27007D"/>
    <w:rsid w:val="1B2A7E36"/>
    <w:rsid w:val="1B2B1C07"/>
    <w:rsid w:val="1B2F42C3"/>
    <w:rsid w:val="1B324397"/>
    <w:rsid w:val="1B372EB9"/>
    <w:rsid w:val="1B39636C"/>
    <w:rsid w:val="1B40005E"/>
    <w:rsid w:val="1B4268B4"/>
    <w:rsid w:val="1B427936"/>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4517A"/>
    <w:rsid w:val="1C793EB9"/>
    <w:rsid w:val="1C807142"/>
    <w:rsid w:val="1C90266F"/>
    <w:rsid w:val="1C941310"/>
    <w:rsid w:val="1C9A166E"/>
    <w:rsid w:val="1C9D1065"/>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023C0"/>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C403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3FD9"/>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3545C"/>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DC0463"/>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01EFD"/>
    <w:rsid w:val="21B472C9"/>
    <w:rsid w:val="21B50781"/>
    <w:rsid w:val="21BB41F5"/>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C45F8"/>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55B99"/>
    <w:rsid w:val="247A5C3A"/>
    <w:rsid w:val="247C5EE2"/>
    <w:rsid w:val="247C7B9E"/>
    <w:rsid w:val="247E1CE1"/>
    <w:rsid w:val="247F6CC6"/>
    <w:rsid w:val="24837A35"/>
    <w:rsid w:val="24851BBB"/>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E07021"/>
    <w:rsid w:val="27FE4240"/>
    <w:rsid w:val="280008FF"/>
    <w:rsid w:val="2804331D"/>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0A77"/>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51B3C"/>
    <w:rsid w:val="296865F6"/>
    <w:rsid w:val="296B20A7"/>
    <w:rsid w:val="297D1A8B"/>
    <w:rsid w:val="298431C2"/>
    <w:rsid w:val="299301FE"/>
    <w:rsid w:val="29981CF5"/>
    <w:rsid w:val="299E6180"/>
    <w:rsid w:val="29A4634A"/>
    <w:rsid w:val="29A84DD1"/>
    <w:rsid w:val="29AA2390"/>
    <w:rsid w:val="29B301F6"/>
    <w:rsid w:val="29B85AFC"/>
    <w:rsid w:val="29BB74AF"/>
    <w:rsid w:val="29BC2AA4"/>
    <w:rsid w:val="29C31CA9"/>
    <w:rsid w:val="29CD2270"/>
    <w:rsid w:val="29D03220"/>
    <w:rsid w:val="29D0429A"/>
    <w:rsid w:val="29D22D87"/>
    <w:rsid w:val="29DA58FD"/>
    <w:rsid w:val="29DB020F"/>
    <w:rsid w:val="29DE2380"/>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51408F"/>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01D3E"/>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7579C4"/>
    <w:rsid w:val="2F805714"/>
    <w:rsid w:val="2F8640C4"/>
    <w:rsid w:val="2F8E5F5C"/>
    <w:rsid w:val="2F921FAC"/>
    <w:rsid w:val="2F93703C"/>
    <w:rsid w:val="2F9A4BB6"/>
    <w:rsid w:val="2FA21231"/>
    <w:rsid w:val="2FA54FC5"/>
    <w:rsid w:val="2FA77525"/>
    <w:rsid w:val="2FAD4759"/>
    <w:rsid w:val="2FAD5866"/>
    <w:rsid w:val="2FB91323"/>
    <w:rsid w:val="2FCA0967"/>
    <w:rsid w:val="2FD84674"/>
    <w:rsid w:val="2FDB17E1"/>
    <w:rsid w:val="2FE20568"/>
    <w:rsid w:val="2FE37171"/>
    <w:rsid w:val="2FE91596"/>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86BEB"/>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23D82"/>
    <w:rsid w:val="31584385"/>
    <w:rsid w:val="315D7DEC"/>
    <w:rsid w:val="31624EDC"/>
    <w:rsid w:val="31647576"/>
    <w:rsid w:val="31665E5D"/>
    <w:rsid w:val="316716FE"/>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05E19"/>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CD2772"/>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9611D"/>
    <w:rsid w:val="353C4905"/>
    <w:rsid w:val="353C75ED"/>
    <w:rsid w:val="353E791E"/>
    <w:rsid w:val="354008AB"/>
    <w:rsid w:val="354966A2"/>
    <w:rsid w:val="354C7B38"/>
    <w:rsid w:val="354F28B8"/>
    <w:rsid w:val="35535CBB"/>
    <w:rsid w:val="35562F9E"/>
    <w:rsid w:val="35581BA8"/>
    <w:rsid w:val="35590C2B"/>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77953"/>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502F1"/>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66AC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77435"/>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427D3"/>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101"/>
    <w:rsid w:val="3AAC45FD"/>
    <w:rsid w:val="3AB2580E"/>
    <w:rsid w:val="3AB26A14"/>
    <w:rsid w:val="3AB94248"/>
    <w:rsid w:val="3ABE76C3"/>
    <w:rsid w:val="3ABF42F5"/>
    <w:rsid w:val="3ACE7D16"/>
    <w:rsid w:val="3AD73D23"/>
    <w:rsid w:val="3AE82839"/>
    <w:rsid w:val="3AEE596A"/>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167EF"/>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B3C0D"/>
    <w:rsid w:val="3C1E1E84"/>
    <w:rsid w:val="3C1E391D"/>
    <w:rsid w:val="3C21000D"/>
    <w:rsid w:val="3C237821"/>
    <w:rsid w:val="3C294498"/>
    <w:rsid w:val="3C2A1C6F"/>
    <w:rsid w:val="3C2D5003"/>
    <w:rsid w:val="3C30534F"/>
    <w:rsid w:val="3C333216"/>
    <w:rsid w:val="3C36018F"/>
    <w:rsid w:val="3C3615E1"/>
    <w:rsid w:val="3C3B0B4B"/>
    <w:rsid w:val="3C3C3ACF"/>
    <w:rsid w:val="3C3D016E"/>
    <w:rsid w:val="3C43710C"/>
    <w:rsid w:val="3C4864AA"/>
    <w:rsid w:val="3C49796D"/>
    <w:rsid w:val="3C4F7D80"/>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0972"/>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67B99"/>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8E730C"/>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07B5C"/>
    <w:rsid w:val="3E146F59"/>
    <w:rsid w:val="3E197897"/>
    <w:rsid w:val="3E22755F"/>
    <w:rsid w:val="3E237BCC"/>
    <w:rsid w:val="3E255AC9"/>
    <w:rsid w:val="3E3419DC"/>
    <w:rsid w:val="3E3C5F3C"/>
    <w:rsid w:val="3E3E306A"/>
    <w:rsid w:val="3E3F3EC9"/>
    <w:rsid w:val="3E454B0D"/>
    <w:rsid w:val="3E463CA5"/>
    <w:rsid w:val="3E4B2DC3"/>
    <w:rsid w:val="3E5220CC"/>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2393C"/>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87255"/>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D1983"/>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3A63"/>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A7D6F"/>
    <w:rsid w:val="439C3431"/>
    <w:rsid w:val="439D0E7C"/>
    <w:rsid w:val="43A26A83"/>
    <w:rsid w:val="43A41643"/>
    <w:rsid w:val="43C0281C"/>
    <w:rsid w:val="43C02B26"/>
    <w:rsid w:val="43D10A40"/>
    <w:rsid w:val="43D67A91"/>
    <w:rsid w:val="43E21F58"/>
    <w:rsid w:val="43E35EF0"/>
    <w:rsid w:val="43EB5E76"/>
    <w:rsid w:val="43F76F69"/>
    <w:rsid w:val="43F85D3C"/>
    <w:rsid w:val="43F90FED"/>
    <w:rsid w:val="43FC0DB2"/>
    <w:rsid w:val="44095B4D"/>
    <w:rsid w:val="440C5D56"/>
    <w:rsid w:val="44153F0C"/>
    <w:rsid w:val="44174583"/>
    <w:rsid w:val="441A5200"/>
    <w:rsid w:val="4425456D"/>
    <w:rsid w:val="44336EAB"/>
    <w:rsid w:val="44393BD3"/>
    <w:rsid w:val="443E43CB"/>
    <w:rsid w:val="444014DC"/>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55EE6"/>
    <w:rsid w:val="44C87C0F"/>
    <w:rsid w:val="44CB4FB3"/>
    <w:rsid w:val="44D31B1E"/>
    <w:rsid w:val="44DF6F1B"/>
    <w:rsid w:val="44E5200E"/>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DA7FC9"/>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27F52"/>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55FC1"/>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712D5"/>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25C7"/>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025A5"/>
    <w:rsid w:val="4B82716C"/>
    <w:rsid w:val="4B857EC6"/>
    <w:rsid w:val="4B8829C1"/>
    <w:rsid w:val="4B8A2918"/>
    <w:rsid w:val="4B8D1D76"/>
    <w:rsid w:val="4B901807"/>
    <w:rsid w:val="4B9B25E4"/>
    <w:rsid w:val="4B9E314D"/>
    <w:rsid w:val="4BAC5F66"/>
    <w:rsid w:val="4BAD4CA2"/>
    <w:rsid w:val="4BB037DE"/>
    <w:rsid w:val="4BC05AFA"/>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0419"/>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C199A"/>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C35AB"/>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BC0C25"/>
    <w:rsid w:val="4ECA2CB3"/>
    <w:rsid w:val="4ED11474"/>
    <w:rsid w:val="4ED32EBD"/>
    <w:rsid w:val="4EE61722"/>
    <w:rsid w:val="4EE86D63"/>
    <w:rsid w:val="4EEC3838"/>
    <w:rsid w:val="4EEE11A3"/>
    <w:rsid w:val="4EF07E6E"/>
    <w:rsid w:val="4EF63696"/>
    <w:rsid w:val="4EFE4EC2"/>
    <w:rsid w:val="4EFF3444"/>
    <w:rsid w:val="4F037BFA"/>
    <w:rsid w:val="4F0441E5"/>
    <w:rsid w:val="4F0D4D4A"/>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F1C59"/>
    <w:rsid w:val="50B139BD"/>
    <w:rsid w:val="50B92297"/>
    <w:rsid w:val="50BD1498"/>
    <w:rsid w:val="50BE1B1D"/>
    <w:rsid w:val="50C371C0"/>
    <w:rsid w:val="50C51F05"/>
    <w:rsid w:val="50C607DF"/>
    <w:rsid w:val="50C65C4E"/>
    <w:rsid w:val="50C65E30"/>
    <w:rsid w:val="50D228CF"/>
    <w:rsid w:val="50E63519"/>
    <w:rsid w:val="50E9032C"/>
    <w:rsid w:val="50EC2A8B"/>
    <w:rsid w:val="50ED76FB"/>
    <w:rsid w:val="50F568D9"/>
    <w:rsid w:val="50FD2A03"/>
    <w:rsid w:val="5101000D"/>
    <w:rsid w:val="51037543"/>
    <w:rsid w:val="510D4A1E"/>
    <w:rsid w:val="51184E6D"/>
    <w:rsid w:val="51187610"/>
    <w:rsid w:val="511A4D7E"/>
    <w:rsid w:val="512B350B"/>
    <w:rsid w:val="51375EB3"/>
    <w:rsid w:val="513853CC"/>
    <w:rsid w:val="51392D77"/>
    <w:rsid w:val="513E4493"/>
    <w:rsid w:val="513F081D"/>
    <w:rsid w:val="514A0F7B"/>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5F6206"/>
    <w:rsid w:val="52612620"/>
    <w:rsid w:val="526478E1"/>
    <w:rsid w:val="526A546C"/>
    <w:rsid w:val="527847C1"/>
    <w:rsid w:val="52790FD9"/>
    <w:rsid w:val="52887A7D"/>
    <w:rsid w:val="52894DE6"/>
    <w:rsid w:val="528C5E23"/>
    <w:rsid w:val="52965280"/>
    <w:rsid w:val="529667DA"/>
    <w:rsid w:val="52993DA6"/>
    <w:rsid w:val="529B5EE8"/>
    <w:rsid w:val="529F0D9B"/>
    <w:rsid w:val="52CA3D8F"/>
    <w:rsid w:val="52CD21D8"/>
    <w:rsid w:val="52CF0A4A"/>
    <w:rsid w:val="52DC66BA"/>
    <w:rsid w:val="52DC7C0E"/>
    <w:rsid w:val="52DD5B35"/>
    <w:rsid w:val="52DE6D3F"/>
    <w:rsid w:val="52DF189C"/>
    <w:rsid w:val="52DF42EC"/>
    <w:rsid w:val="52E427EA"/>
    <w:rsid w:val="52E6310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47D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57510"/>
    <w:rsid w:val="549C6534"/>
    <w:rsid w:val="549D5652"/>
    <w:rsid w:val="54A14490"/>
    <w:rsid w:val="54A153FA"/>
    <w:rsid w:val="54A55A38"/>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8E6EA4"/>
    <w:rsid w:val="55906233"/>
    <w:rsid w:val="55910661"/>
    <w:rsid w:val="559537DA"/>
    <w:rsid w:val="559A7344"/>
    <w:rsid w:val="55A578C3"/>
    <w:rsid w:val="55A63100"/>
    <w:rsid w:val="55AA0C0C"/>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33E2E"/>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B4120"/>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47DAB"/>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4E3E4D"/>
    <w:rsid w:val="58563BF0"/>
    <w:rsid w:val="58590DD2"/>
    <w:rsid w:val="5863473D"/>
    <w:rsid w:val="586C2A31"/>
    <w:rsid w:val="586E1447"/>
    <w:rsid w:val="58733BEB"/>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02EDF"/>
    <w:rsid w:val="58C47A68"/>
    <w:rsid w:val="58C6178A"/>
    <w:rsid w:val="58C66C0B"/>
    <w:rsid w:val="58D720A4"/>
    <w:rsid w:val="58DB456A"/>
    <w:rsid w:val="58E909DD"/>
    <w:rsid w:val="58EB1C90"/>
    <w:rsid w:val="58F57D12"/>
    <w:rsid w:val="58F60AFF"/>
    <w:rsid w:val="58FD7109"/>
    <w:rsid w:val="59094784"/>
    <w:rsid w:val="590C40DA"/>
    <w:rsid w:val="590C62BD"/>
    <w:rsid w:val="591A07AD"/>
    <w:rsid w:val="591D7EA3"/>
    <w:rsid w:val="59267EF0"/>
    <w:rsid w:val="59314627"/>
    <w:rsid w:val="59376E4C"/>
    <w:rsid w:val="59412E73"/>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F0514"/>
    <w:rsid w:val="59B6531E"/>
    <w:rsid w:val="59B75E8A"/>
    <w:rsid w:val="59BC0F73"/>
    <w:rsid w:val="59BD2911"/>
    <w:rsid w:val="59BE1CC3"/>
    <w:rsid w:val="59C13A26"/>
    <w:rsid w:val="59C77457"/>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B192D"/>
    <w:rsid w:val="5A8F76C1"/>
    <w:rsid w:val="5A921A04"/>
    <w:rsid w:val="5A94673C"/>
    <w:rsid w:val="5A9A0A66"/>
    <w:rsid w:val="5AA541CF"/>
    <w:rsid w:val="5AAF460D"/>
    <w:rsid w:val="5AAF48E4"/>
    <w:rsid w:val="5AB96041"/>
    <w:rsid w:val="5ABB58AA"/>
    <w:rsid w:val="5ABC4831"/>
    <w:rsid w:val="5ABC6BFA"/>
    <w:rsid w:val="5AC366EB"/>
    <w:rsid w:val="5AC43AE0"/>
    <w:rsid w:val="5AC4427C"/>
    <w:rsid w:val="5AD054B7"/>
    <w:rsid w:val="5AD149C0"/>
    <w:rsid w:val="5AD20D04"/>
    <w:rsid w:val="5AD510F0"/>
    <w:rsid w:val="5ADB4B16"/>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9F7379"/>
    <w:rsid w:val="5CBF4297"/>
    <w:rsid w:val="5CC31B68"/>
    <w:rsid w:val="5CC43404"/>
    <w:rsid w:val="5CC93DAE"/>
    <w:rsid w:val="5CD31EE3"/>
    <w:rsid w:val="5CE1654F"/>
    <w:rsid w:val="5CE47CF9"/>
    <w:rsid w:val="5CE9519B"/>
    <w:rsid w:val="5CEB1D70"/>
    <w:rsid w:val="5CF45558"/>
    <w:rsid w:val="5CF70E19"/>
    <w:rsid w:val="5D00730C"/>
    <w:rsid w:val="5D072BC8"/>
    <w:rsid w:val="5D076525"/>
    <w:rsid w:val="5D0A3A75"/>
    <w:rsid w:val="5D1052BD"/>
    <w:rsid w:val="5D1558AD"/>
    <w:rsid w:val="5D19384D"/>
    <w:rsid w:val="5D22473A"/>
    <w:rsid w:val="5D237B4C"/>
    <w:rsid w:val="5D2B5629"/>
    <w:rsid w:val="5D301CD3"/>
    <w:rsid w:val="5D315CEB"/>
    <w:rsid w:val="5D326462"/>
    <w:rsid w:val="5D3926A3"/>
    <w:rsid w:val="5D3B59DF"/>
    <w:rsid w:val="5D3C5FD8"/>
    <w:rsid w:val="5D432F0E"/>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BB6191"/>
    <w:rsid w:val="5DCE472A"/>
    <w:rsid w:val="5DD70750"/>
    <w:rsid w:val="5DE44DF4"/>
    <w:rsid w:val="5DED4540"/>
    <w:rsid w:val="5DFD4406"/>
    <w:rsid w:val="5E00720B"/>
    <w:rsid w:val="5E012896"/>
    <w:rsid w:val="5E074911"/>
    <w:rsid w:val="5E080467"/>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14D58"/>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15D5D"/>
    <w:rsid w:val="5F121A0D"/>
    <w:rsid w:val="5F1B27DE"/>
    <w:rsid w:val="5F246C11"/>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501A"/>
    <w:rsid w:val="5FAB674F"/>
    <w:rsid w:val="5FAF179F"/>
    <w:rsid w:val="5FB25387"/>
    <w:rsid w:val="5FBF3440"/>
    <w:rsid w:val="5FC53509"/>
    <w:rsid w:val="5FD20829"/>
    <w:rsid w:val="5FEB0680"/>
    <w:rsid w:val="5FF744A9"/>
    <w:rsid w:val="5FF76947"/>
    <w:rsid w:val="5FF90254"/>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AA5864"/>
    <w:rsid w:val="61B33DDF"/>
    <w:rsid w:val="61B628DA"/>
    <w:rsid w:val="61BB4A1B"/>
    <w:rsid w:val="61BC23E5"/>
    <w:rsid w:val="61CD3107"/>
    <w:rsid w:val="61D21120"/>
    <w:rsid w:val="61D63A72"/>
    <w:rsid w:val="61E728F9"/>
    <w:rsid w:val="61F3045C"/>
    <w:rsid w:val="61F3667F"/>
    <w:rsid w:val="61F43F82"/>
    <w:rsid w:val="61FB110C"/>
    <w:rsid w:val="62057FDE"/>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5712A"/>
    <w:rsid w:val="639A118D"/>
    <w:rsid w:val="639E75EE"/>
    <w:rsid w:val="63A85CD1"/>
    <w:rsid w:val="63AB2A39"/>
    <w:rsid w:val="63B02C42"/>
    <w:rsid w:val="63B51B9D"/>
    <w:rsid w:val="63C51AD9"/>
    <w:rsid w:val="63C54411"/>
    <w:rsid w:val="63C733FE"/>
    <w:rsid w:val="63CD27C8"/>
    <w:rsid w:val="63CD4C2D"/>
    <w:rsid w:val="63CF2629"/>
    <w:rsid w:val="63D2350F"/>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A5C24"/>
    <w:rsid w:val="645B5DC0"/>
    <w:rsid w:val="645D3A6B"/>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A7C62"/>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825FDC"/>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3F1580"/>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AD7C8E"/>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2770A"/>
    <w:rsid w:val="6A532FF6"/>
    <w:rsid w:val="6A601C8F"/>
    <w:rsid w:val="6A7174A5"/>
    <w:rsid w:val="6A72508F"/>
    <w:rsid w:val="6A732254"/>
    <w:rsid w:val="6A774894"/>
    <w:rsid w:val="6A7917E5"/>
    <w:rsid w:val="6A80364F"/>
    <w:rsid w:val="6A8C3EFF"/>
    <w:rsid w:val="6A916EED"/>
    <w:rsid w:val="6A9371B0"/>
    <w:rsid w:val="6A937D23"/>
    <w:rsid w:val="6A960003"/>
    <w:rsid w:val="6A9B5915"/>
    <w:rsid w:val="6A9B6E68"/>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831974"/>
    <w:rsid w:val="6C882F2E"/>
    <w:rsid w:val="6C8E4315"/>
    <w:rsid w:val="6C95615F"/>
    <w:rsid w:val="6CA94419"/>
    <w:rsid w:val="6CB242A2"/>
    <w:rsid w:val="6CC52E7F"/>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6E5CF0"/>
    <w:rsid w:val="6D6F30F0"/>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A0943"/>
    <w:rsid w:val="6E4E0EC4"/>
    <w:rsid w:val="6E561494"/>
    <w:rsid w:val="6E567CD0"/>
    <w:rsid w:val="6E633CB5"/>
    <w:rsid w:val="6E651C83"/>
    <w:rsid w:val="6E7106EF"/>
    <w:rsid w:val="6E72570E"/>
    <w:rsid w:val="6E785A45"/>
    <w:rsid w:val="6E796FC0"/>
    <w:rsid w:val="6E8F6FAF"/>
    <w:rsid w:val="6E917497"/>
    <w:rsid w:val="6E9E5736"/>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61402"/>
    <w:rsid w:val="6F28474F"/>
    <w:rsid w:val="6F350882"/>
    <w:rsid w:val="6F35635E"/>
    <w:rsid w:val="6F3713E9"/>
    <w:rsid w:val="6F384951"/>
    <w:rsid w:val="6F387253"/>
    <w:rsid w:val="6F4876AF"/>
    <w:rsid w:val="6F537FC0"/>
    <w:rsid w:val="6F607895"/>
    <w:rsid w:val="6F61040C"/>
    <w:rsid w:val="6F6776E1"/>
    <w:rsid w:val="6F702CF5"/>
    <w:rsid w:val="6F706E7C"/>
    <w:rsid w:val="6F7A0C79"/>
    <w:rsid w:val="6F7E1B78"/>
    <w:rsid w:val="6F7F2D61"/>
    <w:rsid w:val="6F9C5D71"/>
    <w:rsid w:val="6FA3781E"/>
    <w:rsid w:val="6FA453D5"/>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76220"/>
    <w:rsid w:val="701830B7"/>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6305E"/>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085D"/>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4FF0609"/>
    <w:rsid w:val="7502618E"/>
    <w:rsid w:val="750934A8"/>
    <w:rsid w:val="750A15E4"/>
    <w:rsid w:val="750C76FA"/>
    <w:rsid w:val="751C6D8A"/>
    <w:rsid w:val="752B3381"/>
    <w:rsid w:val="75325694"/>
    <w:rsid w:val="75376E15"/>
    <w:rsid w:val="75377773"/>
    <w:rsid w:val="753B454F"/>
    <w:rsid w:val="75441B17"/>
    <w:rsid w:val="75457EFF"/>
    <w:rsid w:val="754D33E0"/>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40A69"/>
    <w:rsid w:val="76A53B61"/>
    <w:rsid w:val="76A56898"/>
    <w:rsid w:val="76A652D8"/>
    <w:rsid w:val="76AC087B"/>
    <w:rsid w:val="76AF2AB4"/>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44A91"/>
    <w:rsid w:val="77284F7D"/>
    <w:rsid w:val="7729766A"/>
    <w:rsid w:val="772D35A6"/>
    <w:rsid w:val="772D3786"/>
    <w:rsid w:val="773A62B8"/>
    <w:rsid w:val="773E64A6"/>
    <w:rsid w:val="77422DC5"/>
    <w:rsid w:val="7743723B"/>
    <w:rsid w:val="77490C6C"/>
    <w:rsid w:val="774B3934"/>
    <w:rsid w:val="774B7A86"/>
    <w:rsid w:val="774D47BD"/>
    <w:rsid w:val="775352E9"/>
    <w:rsid w:val="77551F00"/>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17B62"/>
    <w:rsid w:val="78591903"/>
    <w:rsid w:val="787659AD"/>
    <w:rsid w:val="7888219B"/>
    <w:rsid w:val="78887070"/>
    <w:rsid w:val="788908C8"/>
    <w:rsid w:val="78993306"/>
    <w:rsid w:val="789F3EDD"/>
    <w:rsid w:val="78A561F3"/>
    <w:rsid w:val="78A953B7"/>
    <w:rsid w:val="78AB3452"/>
    <w:rsid w:val="78B0117B"/>
    <w:rsid w:val="78B91C9F"/>
    <w:rsid w:val="78BC539D"/>
    <w:rsid w:val="78BD5434"/>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28148A"/>
    <w:rsid w:val="79350D11"/>
    <w:rsid w:val="79351894"/>
    <w:rsid w:val="7940572D"/>
    <w:rsid w:val="79461391"/>
    <w:rsid w:val="79474814"/>
    <w:rsid w:val="79492AA1"/>
    <w:rsid w:val="794B387C"/>
    <w:rsid w:val="794B4D74"/>
    <w:rsid w:val="79501475"/>
    <w:rsid w:val="79524043"/>
    <w:rsid w:val="795A5499"/>
    <w:rsid w:val="795B23B8"/>
    <w:rsid w:val="795B74A5"/>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A2315"/>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11C49"/>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AC3C57"/>
    <w:rsid w:val="7CB027DF"/>
    <w:rsid w:val="7CB5615D"/>
    <w:rsid w:val="7CB62523"/>
    <w:rsid w:val="7CB65ABC"/>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0399D"/>
    <w:rsid w:val="7E570488"/>
    <w:rsid w:val="7E573082"/>
    <w:rsid w:val="7E593C4C"/>
    <w:rsid w:val="7E696028"/>
    <w:rsid w:val="7E6A00B0"/>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EFD7856"/>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11BE4"/>
    <w:rsid w:val="7F74788A"/>
    <w:rsid w:val="7F8660CD"/>
    <w:rsid w:val="7F8A2E2C"/>
    <w:rsid w:val="7F963419"/>
    <w:rsid w:val="7F98528E"/>
    <w:rsid w:val="7FA069EC"/>
    <w:rsid w:val="7FB5561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7</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2023-08-11T12:56:52Z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